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795E2C">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1234C7">
        <w:rPr>
          <w:rFonts w:ascii="Calibri" w:hAnsi="Calibri" w:cs="Calibri"/>
        </w:rPr>
        <w:t>0</w:t>
      </w:r>
      <w:r w:rsidR="00795E2C">
        <w:rPr>
          <w:rFonts w:ascii="Calibri" w:hAnsi="Calibri" w:cs="Calibri"/>
        </w:rPr>
        <w:t>5</w:t>
      </w:r>
      <w:r w:rsidR="005E1B66">
        <w:rPr>
          <w:rFonts w:ascii="Calibri" w:hAnsi="Calibri" w:cs="Calibri"/>
        </w:rPr>
        <w:t xml:space="preserve"> </w:t>
      </w:r>
      <w:r w:rsidR="00254B18">
        <w:rPr>
          <w:rFonts w:ascii="Calibri" w:hAnsi="Calibri" w:cs="Calibri"/>
        </w:rPr>
        <w:t xml:space="preserve">Şubat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254B1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68268BB8" wp14:editId="29CAF666">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254B18">
        <w:rPr>
          <w:rFonts w:ascii="Calibri" w:hAnsi="Calibri" w:cs="Calibri"/>
        </w:rPr>
        <w:t>5</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Pr="001234C7" w:rsidRDefault="00301BC6" w:rsidP="00301BC6">
      <w:pPr>
        <w:autoSpaceDE w:val="0"/>
        <w:autoSpaceDN w:val="0"/>
        <w:adjustRightInd w:val="0"/>
        <w:rPr>
          <w:rFonts w:asciiTheme="minorHAnsi" w:eastAsiaTheme="minorHAnsi" w:hAnsiTheme="minorHAnsi" w:cstheme="minorHAnsi"/>
          <w:color w:val="000000"/>
          <w:lang w:eastAsia="en-US"/>
        </w:rPr>
      </w:pPr>
    </w:p>
    <w:p w:rsidR="000A1EB2" w:rsidRPr="000A1EB2" w:rsidRDefault="000A1EB2" w:rsidP="000A1EB2">
      <w:pPr>
        <w:pStyle w:val="GvdeA"/>
        <w:spacing w:line="276" w:lineRule="auto"/>
        <w:ind w:right="425"/>
        <w:outlineLvl w:val="0"/>
        <w:rPr>
          <w:rFonts w:ascii="Arial" w:hAnsi="Arial" w:cs="Arial"/>
          <w:b/>
          <w:bCs/>
          <w:color w:val="000000" w:themeColor="text1"/>
          <w:sz w:val="36"/>
          <w:szCs w:val="36"/>
          <w:lang w:val="tr-TR"/>
        </w:rPr>
      </w:pPr>
      <w:r w:rsidRPr="000A1EB2">
        <w:rPr>
          <w:rFonts w:ascii="Arial" w:hAnsi="Arial" w:cs="Arial"/>
          <w:b/>
          <w:bCs/>
          <w:color w:val="000000" w:themeColor="text1"/>
          <w:sz w:val="36"/>
          <w:szCs w:val="36"/>
          <w:lang w:val="tr-TR"/>
        </w:rPr>
        <w:t xml:space="preserve">“FİNANSMANA ERİŞİM YOKSA ÜRETİM, YATIRIM, İSTİHDAM VE İHRACAT GÜCÜMÜZ </w:t>
      </w:r>
      <w:r>
        <w:rPr>
          <w:rFonts w:ascii="Arial" w:hAnsi="Arial" w:cs="Arial"/>
          <w:b/>
          <w:bCs/>
          <w:color w:val="000000" w:themeColor="text1"/>
          <w:sz w:val="36"/>
          <w:szCs w:val="36"/>
          <w:lang w:val="tr-TR"/>
        </w:rPr>
        <w:t>KIRILIR</w:t>
      </w:r>
      <w:r w:rsidRPr="000A1EB2">
        <w:rPr>
          <w:rFonts w:ascii="Arial" w:hAnsi="Arial" w:cs="Arial"/>
          <w:b/>
          <w:bCs/>
          <w:color w:val="000000" w:themeColor="text1"/>
          <w:sz w:val="36"/>
          <w:szCs w:val="36"/>
          <w:lang w:val="tr-TR"/>
        </w:rPr>
        <w:t xml:space="preserve">”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A1EB2" w:rsidRPr="000A1EB2" w:rsidRDefault="001234C7" w:rsidP="000A1EB2">
      <w:pPr>
        <w:pStyle w:val="GvdeA"/>
        <w:spacing w:line="276" w:lineRule="auto"/>
        <w:ind w:right="425"/>
        <w:jc w:val="both"/>
        <w:rPr>
          <w:rFonts w:asciiTheme="minorHAnsi" w:hAnsiTheme="minorHAnsi" w:cstheme="minorHAnsi"/>
          <w:b/>
          <w:bCs/>
          <w:color w:val="000000" w:themeColor="text1"/>
          <w:lang w:val="tr-TR"/>
        </w:rPr>
      </w:pPr>
      <w:r w:rsidRPr="000A1EB2">
        <w:rPr>
          <w:rFonts w:asciiTheme="minorHAnsi" w:eastAsia="Calibri" w:hAnsiTheme="minorHAnsi" w:cstheme="minorHAnsi"/>
          <w:b/>
          <w:lang w:val="tr-TR"/>
        </w:rPr>
        <w:t>Çatısı altındaki 7 dernek ve bini aşkın şirketi temsil eden Güney Marmara Sanayi ve İş Dünyası Federasyonu (GÜNMARSİFED),</w:t>
      </w:r>
      <w:r w:rsidR="000A1EB2">
        <w:rPr>
          <w:rFonts w:asciiTheme="minorHAnsi" w:eastAsia="Calibri" w:hAnsiTheme="minorHAnsi" w:cstheme="minorHAnsi"/>
          <w:b/>
          <w:lang w:val="tr-TR"/>
        </w:rPr>
        <w:t xml:space="preserve"> </w:t>
      </w:r>
      <w:r w:rsidR="000A1EB2" w:rsidRPr="000A1EB2">
        <w:rPr>
          <w:rFonts w:asciiTheme="minorHAnsi" w:hAnsiTheme="minorHAnsi" w:cstheme="minorHAnsi"/>
          <w:b/>
          <w:bCs/>
          <w:color w:val="000000" w:themeColor="text1"/>
          <w:lang w:val="tr-TR"/>
        </w:rPr>
        <w:t xml:space="preserve">hızla yükselen ticari kredi faizlerinin işletmelere etkisine ilişkin bir basın açıklaması yaptı. Üretim, yatırım, istihdam ve ihracat gücümüzün sürdürülebilirliği için bankaların kredi maliyetlerini düşürüp, finansmana erişim kanallarını açması gerektiğinin vurgulandığı açıklamada ayrıca, </w:t>
      </w:r>
      <w:proofErr w:type="spellStart"/>
      <w:r w:rsidR="000A1EB2" w:rsidRPr="000A1EB2">
        <w:rPr>
          <w:rFonts w:asciiTheme="minorHAnsi" w:hAnsiTheme="minorHAnsi" w:cstheme="minorHAnsi"/>
          <w:b/>
          <w:bCs/>
          <w:color w:val="000000" w:themeColor="text1"/>
          <w:lang w:val="tr-TR"/>
        </w:rPr>
        <w:t>KGF’nin</w:t>
      </w:r>
      <w:proofErr w:type="spellEnd"/>
      <w:r w:rsidR="000A1EB2" w:rsidRPr="000A1EB2">
        <w:rPr>
          <w:rFonts w:asciiTheme="minorHAnsi" w:hAnsiTheme="minorHAnsi" w:cstheme="minorHAnsi"/>
          <w:b/>
          <w:bCs/>
          <w:color w:val="000000" w:themeColor="text1"/>
          <w:lang w:val="tr-TR"/>
        </w:rPr>
        <w:t xml:space="preserve"> acil devreye alınması ve Eximbank’ın doğrudan teminat mektupsuz ihracat desteğine geçmesi gerektiği belirtildi. </w:t>
      </w:r>
    </w:p>
    <w:p w:rsidR="000A1EB2" w:rsidRDefault="000A1EB2" w:rsidP="00254B18">
      <w:pPr>
        <w:pStyle w:val="AralkYok"/>
        <w:jc w:val="both"/>
        <w:rPr>
          <w:b/>
          <w:bCs/>
          <w:sz w:val="24"/>
          <w:szCs w:val="24"/>
        </w:rPr>
      </w:pPr>
    </w:p>
    <w:p w:rsidR="008626D9" w:rsidRDefault="001234C7" w:rsidP="00795E2C">
      <w:pPr>
        <w:pStyle w:val="AralkYok"/>
        <w:jc w:val="both"/>
        <w:rPr>
          <w:sz w:val="24"/>
          <w:szCs w:val="24"/>
          <w:shd w:val="clear" w:color="auto" w:fill="FFFFFF"/>
        </w:rPr>
      </w:pPr>
      <w:r>
        <w:rPr>
          <w:b/>
          <w:bCs/>
          <w:sz w:val="24"/>
          <w:szCs w:val="24"/>
        </w:rPr>
        <w:t>0</w:t>
      </w:r>
      <w:r w:rsidR="00795E2C">
        <w:rPr>
          <w:b/>
          <w:bCs/>
          <w:sz w:val="24"/>
          <w:szCs w:val="24"/>
        </w:rPr>
        <w:t>5</w:t>
      </w:r>
      <w:r w:rsidR="003A4B8B" w:rsidRPr="00FE7A39">
        <w:rPr>
          <w:b/>
          <w:bCs/>
          <w:sz w:val="24"/>
          <w:szCs w:val="24"/>
        </w:rPr>
        <w:t xml:space="preserve"> </w:t>
      </w:r>
      <w:r w:rsidR="00254B18">
        <w:rPr>
          <w:b/>
          <w:bCs/>
          <w:sz w:val="24"/>
          <w:szCs w:val="24"/>
        </w:rPr>
        <w:t>Şubat 2022</w:t>
      </w:r>
      <w:r w:rsidR="003A4B8B" w:rsidRPr="00FE7A39">
        <w:rPr>
          <w:b/>
          <w:bCs/>
          <w:sz w:val="24"/>
          <w:szCs w:val="24"/>
        </w:rPr>
        <w:t xml:space="preserve"> / Balıkesir</w:t>
      </w:r>
      <w:r w:rsidR="003A4B8B" w:rsidRPr="00FE7A39">
        <w:rPr>
          <w:sz w:val="24"/>
          <w:szCs w:val="24"/>
        </w:rPr>
        <w:t xml:space="preserve"> – </w:t>
      </w:r>
      <w:r>
        <w:rPr>
          <w:sz w:val="24"/>
          <w:szCs w:val="24"/>
          <w:shd w:val="clear" w:color="auto" w:fill="FFFFFF"/>
        </w:rPr>
        <w:t xml:space="preserve">GÜNMARSİFED tarafından yapılan basın açıklamasında şu görüşlere yer verildi: </w:t>
      </w:r>
      <w:r w:rsidR="00FE7A39">
        <w:rPr>
          <w:sz w:val="24"/>
          <w:szCs w:val="24"/>
          <w:shd w:val="clear" w:color="auto" w:fill="FFFFFF"/>
        </w:rPr>
        <w:t xml:space="preserve"> </w:t>
      </w:r>
    </w:p>
    <w:p w:rsidR="000A1EB2" w:rsidRDefault="000A1EB2" w:rsidP="000A1EB2">
      <w:pPr>
        <w:pStyle w:val="GvdeA"/>
        <w:spacing w:line="276" w:lineRule="auto"/>
        <w:ind w:right="425"/>
        <w:jc w:val="both"/>
        <w:rPr>
          <w:rFonts w:asciiTheme="minorHAnsi" w:eastAsiaTheme="minorHAnsi" w:hAnsiTheme="minorHAnsi" w:cstheme="minorBidi"/>
          <w:color w:val="auto"/>
          <w:szCs w:val="22"/>
          <w:bdr w:val="none" w:sz="0" w:space="0" w:color="auto"/>
          <w:lang w:val="tr-TR"/>
          <w14:textOutline w14:w="0" w14:cap="rnd" w14:cmpd="sng" w14:algn="ctr">
            <w14:noFill/>
            <w14:prstDash w14:val="solid"/>
            <w14:bevel/>
          </w14:textOutline>
        </w:rPr>
      </w:pPr>
    </w:p>
    <w:p w:rsidR="000A1EB2" w:rsidRDefault="000A1EB2" w:rsidP="002B3554">
      <w:pPr>
        <w:pStyle w:val="GvdeA"/>
        <w:spacing w:line="276" w:lineRule="auto"/>
        <w:ind w:right="425"/>
        <w:jc w:val="both"/>
        <w:rPr>
          <w:rFonts w:asciiTheme="minorHAnsi" w:hAnsiTheme="minorHAnsi" w:cstheme="minorHAnsi"/>
          <w:color w:val="auto"/>
          <w:lang w:val="tr-TR"/>
        </w:rPr>
      </w:pPr>
      <w:r w:rsidRPr="000A1EB2">
        <w:rPr>
          <w:rFonts w:asciiTheme="minorHAnsi" w:hAnsiTheme="minorHAnsi" w:cstheme="minorHAnsi"/>
          <w:lang w:val="tr-TR"/>
        </w:rPr>
        <w:t>Bir üretim ekonomisinde yaşıyoruz. Türk ekonomisinin kalbi olan sanayi sektörün</w:t>
      </w:r>
      <w:bookmarkStart w:id="0" w:name="_GoBack"/>
      <w:bookmarkEnd w:id="0"/>
      <w:r w:rsidRPr="000A1EB2">
        <w:rPr>
          <w:rFonts w:asciiTheme="minorHAnsi" w:hAnsiTheme="minorHAnsi" w:cstheme="minorHAnsi"/>
          <w:lang w:val="tr-TR"/>
        </w:rPr>
        <w:t xml:space="preserve">de; katma değer, verimlilik, ihracat, ham madde, yatırım, kredi ve çalışan emeği gibi süreçler belirli maliyetler ile bir araya gelerek pazara üretim gerçekleştiriyor. Bu karmaşık sürecin sağlıklı işleyişi ve katma değer yaratması için öngörülebilirliğin sağlanması önem kazanıyor. </w:t>
      </w:r>
      <w:r w:rsidRPr="000A1EB2">
        <w:rPr>
          <w:rFonts w:asciiTheme="minorHAnsi" w:hAnsiTheme="minorHAnsi" w:cstheme="minorHAnsi"/>
          <w:color w:val="auto"/>
          <w:lang w:val="tr-TR"/>
        </w:rPr>
        <w:t xml:space="preserve">Ülkemizde büyümenin sürdürülebilirliği ve kalitesi için yüksek enflasyon-faiz-kur sarmalından bir an önce kurtulup, öngörülebilirliği sağlayarak, yatırım, üretim, istihdam ve katma değerli ihracata odaklanmamız gerekiyor. </w:t>
      </w:r>
    </w:p>
    <w:p w:rsidR="002B3554" w:rsidRPr="000A1EB2" w:rsidRDefault="002B3554" w:rsidP="002B3554">
      <w:pPr>
        <w:pStyle w:val="GvdeA"/>
        <w:spacing w:line="276" w:lineRule="auto"/>
        <w:ind w:right="425"/>
        <w:jc w:val="both"/>
        <w:rPr>
          <w:rFonts w:asciiTheme="minorHAnsi" w:eastAsia="Times New Roman" w:hAnsiTheme="minorHAnsi" w:cstheme="minorHAnsi"/>
          <w:color w:val="auto"/>
          <w:lang w:val="tr-TR" w:eastAsia="en-GB"/>
        </w:rPr>
      </w:pPr>
    </w:p>
    <w:p w:rsidR="000A1EB2" w:rsidRPr="000A1EB2" w:rsidRDefault="000A1EB2" w:rsidP="000A1EB2">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color w:val="auto"/>
          <w:lang w:val="tr-TR" w:eastAsia="en-GB"/>
        </w:rPr>
        <w:t xml:space="preserve">Firmaların işletme sermayesi ihtiyacında son bir yılda dört kata yakın artış görülen sektörler oldu. Politika faizine kıyasla bankaların ticari işletmelere uyguladığı kredi faizleri iki kat artış gösterdi. </w:t>
      </w:r>
      <w:r w:rsidRPr="000A1EB2">
        <w:rPr>
          <w:rFonts w:asciiTheme="minorHAnsi" w:eastAsia="Times New Roman" w:hAnsiTheme="minorHAnsi" w:cstheme="minorHAnsi"/>
          <w:lang w:val="tr-TR" w:eastAsia="en-GB"/>
        </w:rPr>
        <w:t>Sanayicilerimizin ve reel sektörün yatırım iştahının devam etmesi, ekonomimizin bel kemiğini oluşturan 3,2 milyonu aşkın KOBİ’mizin ayakta kalması için gerek devlet gerekse de finansa sektörü tarafında finansmana erişim kanallarının bir an önce açılması gerekiyor.</w:t>
      </w:r>
    </w:p>
    <w:p w:rsidR="000A1EB2" w:rsidRPr="000A1EB2" w:rsidRDefault="000A1EB2" w:rsidP="000A1EB2">
      <w:pPr>
        <w:pStyle w:val="GvdeA"/>
        <w:spacing w:line="276" w:lineRule="auto"/>
        <w:ind w:right="425"/>
        <w:jc w:val="both"/>
        <w:rPr>
          <w:rFonts w:asciiTheme="minorHAnsi" w:eastAsia="Times New Roman" w:hAnsiTheme="minorHAnsi" w:cstheme="minorHAnsi"/>
          <w:lang w:val="tr-TR" w:eastAsia="en-GB"/>
        </w:rPr>
      </w:pPr>
    </w:p>
    <w:p w:rsidR="000A1EB2" w:rsidRPr="000A1EB2" w:rsidRDefault="002B3554" w:rsidP="000A1EB2">
      <w:pPr>
        <w:pStyle w:val="GvdeA"/>
        <w:spacing w:line="276" w:lineRule="auto"/>
        <w:ind w:right="425"/>
        <w:jc w:val="both"/>
        <w:rPr>
          <w:rFonts w:asciiTheme="minorHAnsi" w:hAnsiTheme="minorHAnsi" w:cstheme="minorHAnsi"/>
          <w:lang w:val="tr-TR"/>
        </w:rPr>
      </w:pPr>
      <w:r>
        <w:rPr>
          <w:rFonts w:asciiTheme="minorHAnsi" w:hAnsiTheme="minorHAnsi" w:cstheme="minorHAnsi"/>
          <w:lang w:val="tr-TR"/>
        </w:rPr>
        <w:t>F</w:t>
      </w:r>
      <w:r w:rsidR="000A1EB2" w:rsidRPr="000A1EB2">
        <w:rPr>
          <w:rFonts w:asciiTheme="minorHAnsi" w:hAnsiTheme="minorHAnsi" w:cstheme="minorHAnsi"/>
          <w:lang w:val="tr-TR"/>
        </w:rPr>
        <w:t>inansmana erişim kanallarının açılması ile destek mekanizmalarının oluşturulmasına yönelik önerilerimizi kamuoyuyla paylaşmak isteriz:</w:t>
      </w:r>
    </w:p>
    <w:p w:rsidR="000A1EB2" w:rsidRPr="000A1EB2" w:rsidRDefault="000A1EB2" w:rsidP="000A1EB2">
      <w:pPr>
        <w:pStyle w:val="GvdeA"/>
        <w:spacing w:line="276" w:lineRule="auto"/>
        <w:ind w:left="567" w:right="425"/>
        <w:jc w:val="both"/>
        <w:rPr>
          <w:rFonts w:asciiTheme="minorHAnsi" w:hAnsiTheme="minorHAnsi" w:cstheme="minorHAnsi"/>
          <w:lang w:val="tr-TR"/>
        </w:rPr>
      </w:pPr>
    </w:p>
    <w:p w:rsidR="000A1EB2" w:rsidRPr="000A1EB2" w:rsidRDefault="000A1EB2" w:rsidP="000A1EB2">
      <w:pPr>
        <w:pStyle w:val="GvdeA"/>
        <w:numPr>
          <w:ilvl w:val="0"/>
          <w:numId w:val="9"/>
        </w:numPr>
        <w:spacing w:line="276" w:lineRule="auto"/>
        <w:ind w:right="425"/>
        <w:jc w:val="both"/>
        <w:rPr>
          <w:rFonts w:asciiTheme="minorHAnsi" w:hAnsiTheme="minorHAnsi" w:cstheme="minorHAnsi"/>
          <w:b/>
          <w:lang w:val="tr-TR"/>
        </w:rPr>
      </w:pPr>
      <w:r w:rsidRPr="000A1EB2">
        <w:rPr>
          <w:rFonts w:asciiTheme="minorHAnsi" w:hAnsiTheme="minorHAnsi" w:cstheme="minorHAnsi"/>
          <w:b/>
          <w:lang w:val="tr-TR"/>
        </w:rPr>
        <w:t>Bankalar kredi faizlerini düşürmeli, katı kurallardan vazgeçmeli</w:t>
      </w: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 xml:space="preserve">Özellikle kurdaki oynaklık nedeniyle banka ve piyasa oyuncularının izlediği ‘bekle-gör’ politikası, iş dünyasını zor durumda bırakmıştır. Ticari kredi faizlerinde son yılların en sert artışları yaşanmış, özel bankaların faiz oranları yüzde 35’leri bulmuştur. Kamu bankalarındaki oranlar yüzde 15-17 arasında seyretse de onlar da kredi verme konusunda limitli ve iştahsız davranmaktadır. Diğer taraftan tüm bankalar kredi kullanımında katı kurallar uygulamaktadır. Bazı bankalar, yalnızca kendi bankalarında hesabı olan tedarikçilere ödeme yapılması koşulunu öne sürmekte, bankadan bankaya transfere veya başka bankadaki kredinin kapatılmasına izin vermemektedir. </w:t>
      </w:r>
    </w:p>
    <w:p w:rsidR="000A1EB2" w:rsidRPr="000A1EB2" w:rsidRDefault="000A1EB2" w:rsidP="000A1EB2">
      <w:pPr>
        <w:pStyle w:val="GvdeA"/>
        <w:spacing w:line="276" w:lineRule="auto"/>
        <w:ind w:left="567" w:right="425"/>
        <w:jc w:val="both"/>
        <w:rPr>
          <w:rFonts w:asciiTheme="minorHAnsi" w:hAnsiTheme="minorHAnsi" w:cstheme="minorHAnsi"/>
          <w:lang w:val="tr-TR"/>
        </w:rPr>
      </w:pP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Bu koşullarda bankaların tek taraflı oran artışına maruz kalan işletmeler herhangi bir pazarlık şansına da sahip olmadıklarından finansmana erişememektedir. Firmalarımızın kapanmaması, istihdam ve iş gücü piyasasının daha fazla bozulmaması için firmalarımızın işletme sermayesi, bankacılık sistemi tarafından desteklenmelidir. Bu süreçte bankalar firmalara ayırdıkları kredi limitlerini artırırken, talep edilen kredi faizlerini de indirmelidir.</w:t>
      </w: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 xml:space="preserve"> </w:t>
      </w:r>
    </w:p>
    <w:p w:rsidR="000A1EB2" w:rsidRPr="000A1EB2" w:rsidRDefault="000A1EB2" w:rsidP="000A1EB2">
      <w:pPr>
        <w:pStyle w:val="GvdeA"/>
        <w:numPr>
          <w:ilvl w:val="0"/>
          <w:numId w:val="9"/>
        </w:numPr>
        <w:spacing w:line="276" w:lineRule="auto"/>
        <w:ind w:right="425"/>
        <w:jc w:val="both"/>
        <w:rPr>
          <w:rFonts w:asciiTheme="minorHAnsi" w:hAnsiTheme="minorHAnsi" w:cstheme="minorHAnsi"/>
          <w:b/>
          <w:lang w:val="tr-TR"/>
        </w:rPr>
      </w:pPr>
      <w:r w:rsidRPr="000A1EB2">
        <w:rPr>
          <w:rFonts w:asciiTheme="minorHAnsi" w:hAnsiTheme="minorHAnsi" w:cstheme="minorHAnsi"/>
          <w:b/>
          <w:lang w:val="tr-TR"/>
        </w:rPr>
        <w:t>KGF destekli mekanizmalar devreye alınmalıdır</w:t>
      </w: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 xml:space="preserve">Özellikle yatırım ve ihracat odaklı şirketlerde </w:t>
      </w:r>
      <w:proofErr w:type="spellStart"/>
      <w:r w:rsidRPr="000A1EB2">
        <w:rPr>
          <w:rFonts w:asciiTheme="minorHAnsi" w:hAnsiTheme="minorHAnsi" w:cstheme="minorHAnsi"/>
          <w:lang w:val="tr-TR"/>
        </w:rPr>
        <w:t>KGF’nin</w:t>
      </w:r>
      <w:proofErr w:type="spellEnd"/>
      <w:r w:rsidRPr="000A1EB2">
        <w:rPr>
          <w:rFonts w:asciiTheme="minorHAnsi" w:hAnsiTheme="minorHAnsi" w:cstheme="minorHAnsi"/>
          <w:lang w:val="tr-TR"/>
        </w:rPr>
        <w:t xml:space="preserve"> yeniden, daha ucuz maliyetli kredi kanalını açmasına yönelik çok büyük bir beklenti oluşmuştur. Bu kapsamda TÜRKONFED olarak, 2021 yılı Ağustos ayında açıklanan KGF destekli mekanizmaların bir an önce hayata geçirilmesini önemsiyoruz. </w:t>
      </w:r>
    </w:p>
    <w:p w:rsidR="000A1EB2" w:rsidRPr="000A1EB2" w:rsidRDefault="000A1EB2" w:rsidP="000A1EB2">
      <w:pPr>
        <w:pStyle w:val="GvdeA"/>
        <w:numPr>
          <w:ilvl w:val="0"/>
          <w:numId w:val="8"/>
        </w:numPr>
        <w:spacing w:line="276" w:lineRule="auto"/>
        <w:ind w:right="425"/>
        <w:jc w:val="both"/>
        <w:rPr>
          <w:rFonts w:asciiTheme="minorHAnsi" w:hAnsiTheme="minorHAnsi" w:cstheme="minorHAnsi"/>
          <w:lang w:val="tr-TR"/>
        </w:rPr>
      </w:pPr>
      <w:r w:rsidRPr="000A1EB2">
        <w:rPr>
          <w:rFonts w:asciiTheme="minorHAnsi" w:hAnsiTheme="minorHAnsi" w:cstheme="minorHAnsi"/>
          <w:lang w:val="tr-TR"/>
        </w:rPr>
        <w:t xml:space="preserve">Talep edilen miktarın yüzde 30’unun işletme sermayesi olarak, nakit hesaba aktarılmasını, </w:t>
      </w:r>
    </w:p>
    <w:p w:rsidR="000A1EB2" w:rsidRPr="000A1EB2" w:rsidRDefault="000A1EB2" w:rsidP="000A1EB2">
      <w:pPr>
        <w:pStyle w:val="GvdeA"/>
        <w:numPr>
          <w:ilvl w:val="0"/>
          <w:numId w:val="8"/>
        </w:numPr>
        <w:spacing w:line="276" w:lineRule="auto"/>
        <w:ind w:right="425"/>
        <w:jc w:val="both"/>
        <w:rPr>
          <w:rFonts w:asciiTheme="minorHAnsi" w:hAnsiTheme="minorHAnsi" w:cstheme="minorHAnsi"/>
          <w:lang w:val="tr-TR"/>
        </w:rPr>
      </w:pPr>
      <w:r w:rsidRPr="000A1EB2">
        <w:rPr>
          <w:rFonts w:asciiTheme="minorHAnsi" w:hAnsiTheme="minorHAnsi" w:cstheme="minorHAnsi"/>
          <w:lang w:val="tr-TR"/>
        </w:rPr>
        <w:t>Kalan yüzde 70’lik kısmın bankaların kredilendirme şeklindeki gibi fatura karşılığı alışveriş yapılan firmaya bankanın ödemesi olarak gerçekleşmesini,</w:t>
      </w:r>
    </w:p>
    <w:p w:rsidR="000A1EB2" w:rsidRPr="000A1EB2" w:rsidRDefault="000A1EB2" w:rsidP="000A1EB2">
      <w:pPr>
        <w:pStyle w:val="GvdeA"/>
        <w:numPr>
          <w:ilvl w:val="0"/>
          <w:numId w:val="8"/>
        </w:numPr>
        <w:spacing w:line="276" w:lineRule="auto"/>
        <w:ind w:right="425"/>
        <w:jc w:val="both"/>
        <w:rPr>
          <w:rFonts w:asciiTheme="minorHAnsi" w:hAnsiTheme="minorHAnsi" w:cstheme="minorHAnsi"/>
          <w:lang w:val="tr-TR"/>
        </w:rPr>
      </w:pPr>
      <w:r w:rsidRPr="000A1EB2">
        <w:rPr>
          <w:rFonts w:asciiTheme="minorHAnsi" w:hAnsiTheme="minorHAnsi" w:cstheme="minorHAnsi"/>
          <w:lang w:val="tr-TR"/>
        </w:rPr>
        <w:t xml:space="preserve">Tıpkı kredi kartı gibi yüzde 70’lik kısmın KGF Kartı şeklinde olmasını, firmanın mal aldığı yere kartla ödeme yapmasının sağlanmasını öneriyoruz.   </w:t>
      </w: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 xml:space="preserve">Bu mekanizmayı hayatı geçirdiğimiz takdirde gerçekten ihtiyaç duyan, bu krediyi doğru bir şekilde değerlendirecek olan firmaların krediye ulaşması sağlanabilir. </w:t>
      </w:r>
    </w:p>
    <w:p w:rsidR="000A1EB2" w:rsidRPr="000A1EB2" w:rsidRDefault="000A1EB2" w:rsidP="000A1EB2">
      <w:pPr>
        <w:pStyle w:val="GvdeA"/>
        <w:spacing w:line="276" w:lineRule="auto"/>
        <w:ind w:left="567" w:right="425"/>
        <w:jc w:val="both"/>
        <w:rPr>
          <w:rFonts w:asciiTheme="minorHAnsi" w:hAnsiTheme="minorHAnsi" w:cstheme="minorHAnsi"/>
          <w:lang w:val="tr-TR"/>
        </w:rPr>
      </w:pPr>
    </w:p>
    <w:p w:rsidR="000A1EB2" w:rsidRPr="000A1EB2" w:rsidRDefault="000A1EB2" w:rsidP="000A1EB2">
      <w:pPr>
        <w:pStyle w:val="GvdeA"/>
        <w:numPr>
          <w:ilvl w:val="0"/>
          <w:numId w:val="9"/>
        </w:numPr>
        <w:spacing w:line="276" w:lineRule="auto"/>
        <w:ind w:right="425"/>
        <w:jc w:val="both"/>
        <w:rPr>
          <w:rFonts w:asciiTheme="minorHAnsi" w:hAnsiTheme="minorHAnsi" w:cstheme="minorHAnsi"/>
          <w:b/>
          <w:lang w:val="tr-TR"/>
        </w:rPr>
      </w:pPr>
      <w:r w:rsidRPr="000A1EB2">
        <w:rPr>
          <w:rFonts w:asciiTheme="minorHAnsi" w:hAnsiTheme="minorHAnsi" w:cstheme="minorHAnsi"/>
          <w:b/>
          <w:lang w:val="tr-TR"/>
        </w:rPr>
        <w:t>Eximbank’ın doğrudan teminat mektupsuz ihracat desteğine geçmelidir</w:t>
      </w:r>
    </w:p>
    <w:p w:rsidR="000A1EB2" w:rsidRPr="000A1EB2" w:rsidRDefault="000A1EB2" w:rsidP="000A1EB2">
      <w:pPr>
        <w:pStyle w:val="GvdeA"/>
        <w:spacing w:line="276" w:lineRule="auto"/>
        <w:ind w:left="567" w:right="425"/>
        <w:jc w:val="both"/>
        <w:rPr>
          <w:rFonts w:asciiTheme="minorHAnsi" w:hAnsiTheme="minorHAnsi" w:cstheme="minorHAnsi"/>
          <w:lang w:val="tr-TR"/>
        </w:rPr>
      </w:pPr>
      <w:r w:rsidRPr="000A1EB2">
        <w:rPr>
          <w:rFonts w:asciiTheme="minorHAnsi" w:hAnsiTheme="minorHAnsi" w:cstheme="minorHAnsi"/>
          <w:lang w:val="tr-TR"/>
        </w:rPr>
        <w:t xml:space="preserve">İhracatın geliştirilmesi, uluslararası piyasalarda rekabet gücünün artırılması hedefiyle faaliyet gösteren Eximbank’ın verdiği kredilerin bankalardan teminat </w:t>
      </w:r>
      <w:r w:rsidRPr="000A1EB2">
        <w:rPr>
          <w:rFonts w:asciiTheme="minorHAnsi" w:hAnsiTheme="minorHAnsi" w:cstheme="minorHAnsi"/>
          <w:lang w:val="tr-TR"/>
        </w:rPr>
        <w:lastRenderedPageBreak/>
        <w:t xml:space="preserve">mektubu alınarak ve ancak firmaların ticari banka limitlerinden harcanmak suretiyle erişilebilmesinin yanı sıra banka kredileri ile yarışacak düzeye gelmesi de ihracatçı firmalarımızı zor durumda bırakmaktadır. İhracatı desteklemek için Eximbank kredilerinin uygun koşullarda verilmesi sağlanmalıdır. Eximbank’ın doğrudan teminat mektupsuz ihracat desteğine geçmesi de yararlı olacaktır. </w:t>
      </w:r>
    </w:p>
    <w:p w:rsidR="000A1EB2" w:rsidRPr="000A1EB2" w:rsidRDefault="000A1EB2" w:rsidP="000A1EB2">
      <w:pPr>
        <w:pStyle w:val="GvdeA"/>
        <w:spacing w:line="276" w:lineRule="auto"/>
        <w:ind w:left="567" w:right="425"/>
        <w:jc w:val="both"/>
        <w:rPr>
          <w:rFonts w:asciiTheme="minorHAnsi" w:hAnsiTheme="minorHAnsi" w:cstheme="minorHAnsi"/>
          <w:lang w:val="tr-TR"/>
        </w:rPr>
      </w:pPr>
    </w:p>
    <w:p w:rsidR="000A1EB2" w:rsidRPr="000A1EB2" w:rsidRDefault="000A1EB2" w:rsidP="002B3554">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2022 yılında işletme sermayesi ihtiyacı</w:t>
      </w:r>
      <w:r w:rsidR="002B3554">
        <w:rPr>
          <w:rFonts w:asciiTheme="minorHAnsi" w:eastAsia="Times New Roman" w:hAnsiTheme="minorHAnsi" w:cstheme="minorHAnsi"/>
          <w:lang w:val="tr-TR" w:eastAsia="en-GB"/>
        </w:rPr>
        <w:t xml:space="preserve"> giderilmeli re</w:t>
      </w:r>
      <w:r w:rsidRPr="000A1EB2">
        <w:rPr>
          <w:rFonts w:asciiTheme="minorHAnsi" w:eastAsia="Times New Roman" w:hAnsiTheme="minorHAnsi" w:cstheme="minorHAnsi"/>
          <w:lang w:val="tr-TR" w:eastAsia="en-GB"/>
        </w:rPr>
        <w:t>el sektörün finansmana erişim kanallarının açılması da sağlan</w:t>
      </w:r>
      <w:r w:rsidR="002B3554">
        <w:rPr>
          <w:rFonts w:asciiTheme="minorHAnsi" w:eastAsia="Times New Roman" w:hAnsiTheme="minorHAnsi" w:cstheme="minorHAnsi"/>
          <w:lang w:val="tr-TR" w:eastAsia="en-GB"/>
        </w:rPr>
        <w:t xml:space="preserve">malıdır. </w:t>
      </w:r>
      <w:r w:rsidRPr="000A1EB2">
        <w:rPr>
          <w:rFonts w:asciiTheme="minorHAnsi" w:eastAsia="Times New Roman" w:hAnsiTheme="minorHAnsi" w:cstheme="minorHAnsi"/>
          <w:lang w:val="tr-TR" w:eastAsia="en-GB"/>
        </w:rPr>
        <w:t xml:space="preserve"> Aksi durumun üretim, yatırım ve istihdamı</w:t>
      </w:r>
      <w:r w:rsidR="002B3554">
        <w:rPr>
          <w:rFonts w:asciiTheme="minorHAnsi" w:eastAsia="Times New Roman" w:hAnsiTheme="minorHAnsi" w:cstheme="minorHAnsi"/>
          <w:lang w:val="tr-TR" w:eastAsia="en-GB"/>
        </w:rPr>
        <w:t xml:space="preserve">nın bu durumdan çok daha olumsuz etkileneceğine </w:t>
      </w:r>
      <w:r w:rsidRPr="000A1EB2">
        <w:rPr>
          <w:rFonts w:asciiTheme="minorHAnsi" w:eastAsia="Times New Roman" w:hAnsiTheme="minorHAnsi" w:cstheme="minorHAnsi"/>
          <w:lang w:val="tr-TR" w:eastAsia="en-GB"/>
        </w:rPr>
        <w:t xml:space="preserve">dair ciddi endişelerimiz olduğu belirtmek isteriz. </w:t>
      </w:r>
    </w:p>
    <w:p w:rsidR="000A1EB2" w:rsidRPr="000A1EB2" w:rsidRDefault="000A1EB2" w:rsidP="000A1EB2">
      <w:pPr>
        <w:pStyle w:val="GvdeA"/>
        <w:spacing w:line="276" w:lineRule="auto"/>
        <w:ind w:left="567" w:right="425"/>
        <w:jc w:val="both"/>
        <w:rPr>
          <w:rFonts w:asciiTheme="minorHAnsi" w:eastAsia="Times New Roman" w:hAnsiTheme="minorHAnsi" w:cstheme="minorHAnsi"/>
          <w:lang w:val="tr-TR" w:eastAsia="en-GB"/>
        </w:rPr>
      </w:pPr>
    </w:p>
    <w:p w:rsidR="000A1EB2" w:rsidRPr="000A1EB2" w:rsidRDefault="000A1EB2" w:rsidP="000A1EB2">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0A1EB2" w:rsidRPr="000A1EB2" w:rsidRDefault="000A1EB2" w:rsidP="001E0616">
      <w:pPr>
        <w:pStyle w:val="AralkYok"/>
        <w:rPr>
          <w:rFonts w:cstheme="minorHAnsi"/>
          <w:sz w:val="28"/>
          <w:szCs w:val="24"/>
        </w:rPr>
      </w:pPr>
    </w:p>
    <w:p w:rsidR="000A1EB2" w:rsidRDefault="000A1EB2" w:rsidP="001E0616">
      <w:pPr>
        <w:pStyle w:val="AralkYok"/>
        <w:rPr>
          <w:sz w:val="24"/>
        </w:rPr>
      </w:pP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929" w:rsidRDefault="00852929" w:rsidP="009B2A31">
      <w:r>
        <w:separator/>
      </w:r>
    </w:p>
  </w:endnote>
  <w:endnote w:type="continuationSeparator" w:id="0">
    <w:p w:rsidR="00852929" w:rsidRDefault="00852929"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929" w:rsidRDefault="00852929" w:rsidP="009B2A31">
      <w:r>
        <w:separator/>
      </w:r>
    </w:p>
  </w:footnote>
  <w:footnote w:type="continuationSeparator" w:id="0">
    <w:p w:rsidR="00852929" w:rsidRDefault="00852929"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852929"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3807"/>
    <w:rsid w:val="0006484B"/>
    <w:rsid w:val="00064C0F"/>
    <w:rsid w:val="00067B3C"/>
    <w:rsid w:val="00070DC3"/>
    <w:rsid w:val="0007379E"/>
    <w:rsid w:val="00073E73"/>
    <w:rsid w:val="00094EE3"/>
    <w:rsid w:val="0009561D"/>
    <w:rsid w:val="000A0B5F"/>
    <w:rsid w:val="000A1EB2"/>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0578F"/>
    <w:rsid w:val="00111614"/>
    <w:rsid w:val="0011383F"/>
    <w:rsid w:val="001151D1"/>
    <w:rsid w:val="00120128"/>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4B18"/>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7095"/>
    <w:rsid w:val="00427D6B"/>
    <w:rsid w:val="00431D5A"/>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318"/>
    <w:rsid w:val="005F65A4"/>
    <w:rsid w:val="00604DC8"/>
    <w:rsid w:val="0060553C"/>
    <w:rsid w:val="00607470"/>
    <w:rsid w:val="00607617"/>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136BD"/>
    <w:rsid w:val="00820D3A"/>
    <w:rsid w:val="00820FEE"/>
    <w:rsid w:val="00826322"/>
    <w:rsid w:val="008432A6"/>
    <w:rsid w:val="00844A24"/>
    <w:rsid w:val="00847800"/>
    <w:rsid w:val="00852929"/>
    <w:rsid w:val="008566D1"/>
    <w:rsid w:val="0086020A"/>
    <w:rsid w:val="00861282"/>
    <w:rsid w:val="008626D9"/>
    <w:rsid w:val="0086439A"/>
    <w:rsid w:val="00867C0A"/>
    <w:rsid w:val="008825A7"/>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720FE"/>
    <w:rsid w:val="00A74628"/>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5DAC"/>
    <w:rsid w:val="00B1784D"/>
    <w:rsid w:val="00B17D4A"/>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6CCD"/>
    <w:rsid w:val="00BB7684"/>
    <w:rsid w:val="00BC6F68"/>
    <w:rsid w:val="00BD2C4C"/>
    <w:rsid w:val="00BD4EA3"/>
    <w:rsid w:val="00BE544B"/>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560F"/>
    <w:rsid w:val="00E3045E"/>
    <w:rsid w:val="00E30BB5"/>
    <w:rsid w:val="00E31652"/>
    <w:rsid w:val="00E33A5B"/>
    <w:rsid w:val="00E42758"/>
    <w:rsid w:val="00E446D3"/>
    <w:rsid w:val="00E46A20"/>
    <w:rsid w:val="00E4702E"/>
    <w:rsid w:val="00E5177F"/>
    <w:rsid w:val="00E613A4"/>
    <w:rsid w:val="00E61E66"/>
    <w:rsid w:val="00E71516"/>
    <w:rsid w:val="00E71ADF"/>
    <w:rsid w:val="00E80156"/>
    <w:rsid w:val="00E82C68"/>
    <w:rsid w:val="00E851F6"/>
    <w:rsid w:val="00E86194"/>
    <w:rsid w:val="00E9254F"/>
    <w:rsid w:val="00E937B7"/>
    <w:rsid w:val="00EA0078"/>
    <w:rsid w:val="00EA15F5"/>
    <w:rsid w:val="00EA2F4D"/>
    <w:rsid w:val="00EA5C8E"/>
    <w:rsid w:val="00EB4EFC"/>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EF6AB-E6BF-49C4-B613-DDD274E1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741</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2022-02-01T10:03:00Z</dcterms:created>
  <dcterms:modified xsi:type="dcterms:W3CDTF">2022-02-05T10:19:00Z</dcterms:modified>
</cp:coreProperties>
</file>