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73E73" w:rsidP="00121B08">
      <w:pPr>
        <w:spacing w:line="276" w:lineRule="auto"/>
        <w:jc w:val="right"/>
        <w:rPr>
          <w:rFonts w:ascii="Calibri" w:hAnsi="Calibri" w:cs="Calibri"/>
        </w:rPr>
      </w:pPr>
      <w:r>
        <w:rPr>
          <w:rFonts w:ascii="Calibri" w:hAnsi="Calibri" w:cs="Calibri"/>
        </w:rPr>
        <w:t>Tarih:</w:t>
      </w:r>
      <w:r w:rsidR="008F6E72">
        <w:rPr>
          <w:rFonts w:ascii="Calibri" w:hAnsi="Calibri" w:cs="Calibri"/>
        </w:rPr>
        <w:t xml:space="preserve"> </w:t>
      </w:r>
      <w:r w:rsidR="004A5BA3">
        <w:rPr>
          <w:rFonts w:ascii="Calibri" w:hAnsi="Calibri" w:cs="Calibri"/>
        </w:rPr>
        <w:t>1</w:t>
      </w:r>
      <w:r w:rsidR="005E1B66">
        <w:rPr>
          <w:rFonts w:ascii="Calibri" w:hAnsi="Calibri" w:cs="Calibri"/>
        </w:rPr>
        <w:t>2 E</w:t>
      </w:r>
      <w:r w:rsidR="004A5BA3">
        <w:rPr>
          <w:rFonts w:ascii="Calibri" w:hAnsi="Calibri" w:cs="Calibri"/>
        </w:rPr>
        <w:t>kim</w:t>
      </w:r>
      <w:r w:rsidR="008963FD">
        <w:rPr>
          <w:rFonts w:ascii="Calibri" w:hAnsi="Calibri" w:cs="Calibri"/>
        </w:rPr>
        <w:t xml:space="preserve"> </w:t>
      </w:r>
      <w:r w:rsidR="008F6E72">
        <w:rPr>
          <w:rFonts w:ascii="Calibri" w:hAnsi="Calibri" w:cs="Calibri"/>
        </w:rPr>
        <w:t>2</w:t>
      </w:r>
      <w:r w:rsidR="009C4DE6">
        <w:rPr>
          <w:rFonts w:ascii="Calibri" w:hAnsi="Calibri" w:cs="Calibri"/>
        </w:rPr>
        <w:t>020</w:t>
      </w:r>
    </w:p>
    <w:p w:rsidR="00121B08" w:rsidRDefault="00121B08" w:rsidP="00121B08">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5E7D184A" wp14:editId="0019C799">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v:textbox>
              </v:shape>
            </w:pict>
          </mc:Fallback>
        </mc:AlternateContent>
      </w:r>
      <w:r w:rsidR="005E1B66">
        <w:rPr>
          <w:rFonts w:ascii="Calibri" w:hAnsi="Calibri" w:cs="Calibri"/>
        </w:rPr>
        <w:t>9</w:t>
      </w:r>
      <w:r w:rsidR="004A5BA3">
        <w:rPr>
          <w:rFonts w:ascii="Calibri" w:hAnsi="Calibri" w:cs="Calibri"/>
        </w:rPr>
        <w:t>4</w:t>
      </w:r>
      <w:r w:rsidR="005D41D4">
        <w:rPr>
          <w:rFonts w:ascii="Calibri" w:hAnsi="Calibri" w:cs="Calibri"/>
        </w:rPr>
        <w:t>/</w:t>
      </w:r>
      <w:r w:rsidR="009C4DE6">
        <w:rPr>
          <w:rFonts w:ascii="Calibri" w:hAnsi="Calibri" w:cs="Calibri"/>
        </w:rPr>
        <w:t>20</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121B08" w:rsidRDefault="00121B08" w:rsidP="00121B08">
      <w:pPr>
        <w:spacing w:line="276" w:lineRule="auto"/>
        <w:jc w:val="both"/>
        <w:rPr>
          <w:rFonts w:ascii="Calibri" w:hAnsi="Calibri" w:cs="Calibri"/>
        </w:rPr>
      </w:pPr>
    </w:p>
    <w:p w:rsidR="006B353A" w:rsidRDefault="006B353A" w:rsidP="00121B08">
      <w:pPr>
        <w:spacing w:line="276" w:lineRule="auto"/>
        <w:jc w:val="both"/>
        <w:rPr>
          <w:rFonts w:ascii="Calibri" w:hAnsi="Calibri" w:cs="Calibri"/>
        </w:rPr>
      </w:pPr>
    </w:p>
    <w:p w:rsidR="005E1B66" w:rsidRPr="005E1B66" w:rsidRDefault="00CF21DF" w:rsidP="005E1B66">
      <w:pPr>
        <w:pStyle w:val="AralkYok"/>
        <w:rPr>
          <w:b/>
          <w:sz w:val="36"/>
        </w:rPr>
      </w:pPr>
      <w:r>
        <w:rPr>
          <w:b/>
          <w:sz w:val="36"/>
        </w:rPr>
        <w:t>GÜNMARSİFED EKONOMİK TAHMİNLERİ.</w:t>
      </w:r>
      <w:bookmarkStart w:id="0" w:name="_GoBack"/>
      <w:bookmarkEnd w:id="0"/>
    </w:p>
    <w:p w:rsidR="0005134A" w:rsidRPr="00926A0B" w:rsidRDefault="0005134A" w:rsidP="0005134A">
      <w:pPr>
        <w:pStyle w:val="Default"/>
        <w:rPr>
          <w:rFonts w:asciiTheme="minorHAnsi" w:hAnsiTheme="minorHAnsi" w:cstheme="minorHAnsi"/>
          <w:sz w:val="22"/>
          <w:szCs w:val="50"/>
        </w:rPr>
      </w:pPr>
      <w:r w:rsidRPr="00926A0B">
        <w:rPr>
          <w:rFonts w:asciiTheme="minorHAnsi" w:hAnsiTheme="minorHAnsi" w:cstheme="minorHAnsi"/>
          <w:b/>
          <w:bCs/>
          <w:sz w:val="48"/>
          <w:szCs w:val="50"/>
        </w:rPr>
        <w:t xml:space="preserve"> </w:t>
      </w:r>
    </w:p>
    <w:p w:rsidR="005E1B66" w:rsidRPr="00B02154" w:rsidRDefault="005E1B66" w:rsidP="005E1B66">
      <w:pPr>
        <w:pStyle w:val="NormalWeb"/>
        <w:shd w:val="clear" w:color="auto" w:fill="FFFFFF"/>
        <w:spacing w:before="0" w:beforeAutospacing="0"/>
        <w:jc w:val="both"/>
        <w:rPr>
          <w:rFonts w:asciiTheme="minorHAnsi" w:hAnsiTheme="minorHAnsi" w:cstheme="minorHAnsi"/>
          <w:i/>
        </w:rPr>
      </w:pPr>
      <w:r w:rsidRPr="00B02154">
        <w:rPr>
          <w:rFonts w:asciiTheme="minorHAnsi" w:hAnsiTheme="minorHAnsi" w:cstheme="minorHAnsi"/>
          <w:b/>
          <w:bCs/>
          <w:i/>
        </w:rPr>
        <w:t xml:space="preserve">GÜNMARSİFED </w:t>
      </w:r>
      <w:r w:rsidR="00B02154" w:rsidRPr="00B02154">
        <w:rPr>
          <w:rFonts w:asciiTheme="minorHAnsi" w:hAnsiTheme="minorHAnsi" w:cstheme="minorHAnsi"/>
          <w:b/>
          <w:bCs/>
          <w:i/>
        </w:rPr>
        <w:t xml:space="preserve">Güney Marmara Sanayi ve İş Dünyası Federasyonu Üyelerden gelen talepler doğrultusunda ekonomik göstergelere dayalı bir araştırma yapmış ve bölgemiz işletmelerinin gelecek öngörülerine destek olmak maksadıyla ekonomik beklentilerini tespit etmiştir. </w:t>
      </w:r>
    </w:p>
    <w:p w:rsidR="00B02154" w:rsidRDefault="004A5BA3" w:rsidP="005E1B66">
      <w:pPr>
        <w:pStyle w:val="NormalWeb"/>
        <w:shd w:val="clear" w:color="auto" w:fill="FFFFFF"/>
        <w:spacing w:before="0" w:beforeAutospacing="0"/>
        <w:jc w:val="both"/>
        <w:rPr>
          <w:rFonts w:asciiTheme="minorHAnsi" w:hAnsiTheme="minorHAnsi" w:cstheme="minorHAnsi"/>
          <w:b/>
          <w:bCs/>
        </w:rPr>
      </w:pPr>
      <w:r>
        <w:rPr>
          <w:rFonts w:asciiTheme="minorHAnsi" w:hAnsiTheme="minorHAnsi" w:cstheme="minorHAnsi"/>
          <w:b/>
          <w:bCs/>
        </w:rPr>
        <w:t>1</w:t>
      </w:r>
      <w:r w:rsidR="005E1B66" w:rsidRPr="005D6198">
        <w:rPr>
          <w:rFonts w:asciiTheme="minorHAnsi" w:hAnsiTheme="minorHAnsi" w:cstheme="minorHAnsi"/>
          <w:b/>
          <w:bCs/>
        </w:rPr>
        <w:t xml:space="preserve">2 </w:t>
      </w:r>
      <w:proofErr w:type="spellStart"/>
      <w:r w:rsidR="005E1B66" w:rsidRPr="005D6198">
        <w:rPr>
          <w:rFonts w:asciiTheme="minorHAnsi" w:hAnsiTheme="minorHAnsi" w:cstheme="minorHAnsi"/>
          <w:b/>
          <w:bCs/>
        </w:rPr>
        <w:t>E</w:t>
      </w:r>
      <w:r>
        <w:rPr>
          <w:rFonts w:asciiTheme="minorHAnsi" w:hAnsiTheme="minorHAnsi" w:cstheme="minorHAnsi"/>
          <w:b/>
          <w:bCs/>
        </w:rPr>
        <w:t>kim</w:t>
      </w:r>
      <w:r w:rsidR="005E1B66" w:rsidRPr="005D6198">
        <w:rPr>
          <w:rFonts w:asciiTheme="minorHAnsi" w:hAnsiTheme="minorHAnsi" w:cstheme="minorHAnsi"/>
          <w:b/>
          <w:bCs/>
        </w:rPr>
        <w:t>l</w:t>
      </w:r>
      <w:proofErr w:type="spellEnd"/>
      <w:r w:rsidR="005E1B66" w:rsidRPr="005D6198">
        <w:rPr>
          <w:rFonts w:asciiTheme="minorHAnsi" w:hAnsiTheme="minorHAnsi" w:cstheme="minorHAnsi"/>
          <w:b/>
          <w:bCs/>
        </w:rPr>
        <w:t xml:space="preserve"> 2020 / Balıkesir – GÜNMARSİFED</w:t>
      </w:r>
      <w:r w:rsidR="00B02154">
        <w:rPr>
          <w:rFonts w:asciiTheme="minorHAnsi" w:hAnsiTheme="minorHAnsi" w:cstheme="minorHAnsi"/>
          <w:b/>
          <w:bCs/>
        </w:rPr>
        <w:t xml:space="preserve"> Güney Marmara Sanayi ve İş Dünyası tarafından gerçekleştirilen ekonomik araştırma sonuçları ve gelecek beklentileri şu şekilde ortaya çıkmıştır. </w:t>
      </w:r>
    </w:p>
    <w:p w:rsidR="00B02154" w:rsidRDefault="00B02154" w:rsidP="005E1B66">
      <w:pPr>
        <w:pStyle w:val="NormalWeb"/>
        <w:shd w:val="clear" w:color="auto" w:fill="FFFFFF"/>
        <w:spacing w:before="0" w:beforeAutospacing="0"/>
        <w:jc w:val="both"/>
        <w:rPr>
          <w:rFonts w:asciiTheme="minorHAnsi" w:hAnsiTheme="minorHAnsi" w:cstheme="minorHAnsi"/>
          <w:b/>
          <w:bCs/>
        </w:rPr>
      </w:pPr>
      <w:r>
        <w:rPr>
          <w:rFonts w:asciiTheme="minorHAnsi" w:hAnsiTheme="minorHAnsi" w:cstheme="minorHAnsi"/>
          <w:b/>
          <w:bCs/>
        </w:rPr>
        <w:t>EKİM AYI EKONOMİK GÖRÜNÜM</w:t>
      </w:r>
    </w:p>
    <w:p w:rsidR="00B02154" w:rsidRDefault="00B02154" w:rsidP="00B02154">
      <w:pPr>
        <w:pStyle w:val="AralkYok"/>
        <w:jc w:val="both"/>
        <w:rPr>
          <w:sz w:val="24"/>
        </w:rPr>
      </w:pPr>
      <w:r w:rsidRPr="00B02154">
        <w:rPr>
          <w:sz w:val="24"/>
        </w:rPr>
        <w:t xml:space="preserve">Temmuz ayında 56,9’a kadar yükselen ve ekonomik aktivitedeki gidişatı temsil eden PMI, son iki aydır gerilese de 50 seviyesinin üstünde seyrederek toparlanmanın Eylül ayında da hız keserek devam ettiğine işaret ediyor. Reel kesim güven endeksi ve kapasite kullanım oranı ılımlı artışını sürdürüyor. </w:t>
      </w:r>
    </w:p>
    <w:p w:rsidR="00B02154" w:rsidRPr="00B02154" w:rsidRDefault="00B02154" w:rsidP="00B02154">
      <w:pPr>
        <w:pStyle w:val="AralkYok"/>
        <w:rPr>
          <w:sz w:val="24"/>
        </w:rPr>
      </w:pPr>
    </w:p>
    <w:p w:rsidR="00B02154" w:rsidRDefault="00B02154" w:rsidP="00B02154">
      <w:pPr>
        <w:pStyle w:val="AralkYok"/>
        <w:jc w:val="both"/>
        <w:rPr>
          <w:sz w:val="24"/>
        </w:rPr>
      </w:pPr>
      <w:r w:rsidRPr="00B02154">
        <w:rPr>
          <w:sz w:val="24"/>
        </w:rPr>
        <w:t xml:space="preserve">İmalat dışı </w:t>
      </w:r>
      <w:proofErr w:type="spellStart"/>
      <w:r w:rsidRPr="00B02154">
        <w:rPr>
          <w:sz w:val="24"/>
        </w:rPr>
        <w:t>sektörel</w:t>
      </w:r>
      <w:proofErr w:type="spellEnd"/>
      <w:r w:rsidRPr="00B02154">
        <w:rPr>
          <w:sz w:val="24"/>
        </w:rPr>
        <w:t xml:space="preserve"> güven endekslerine baktığımızda inşaat sektöründe, son 2 aydır gerileme devam ederken, perakende sektörü güven endeksindeki yükseliş Eylül ayında sona erdi. Hizmet sektöründe toparlanma ise oldukça yavaş seyrediyor. </w:t>
      </w:r>
    </w:p>
    <w:p w:rsidR="00B02154" w:rsidRPr="00B02154" w:rsidRDefault="00B02154" w:rsidP="00B02154">
      <w:pPr>
        <w:pStyle w:val="AralkYok"/>
        <w:rPr>
          <w:sz w:val="24"/>
        </w:rPr>
      </w:pPr>
    </w:p>
    <w:p w:rsidR="00B02154" w:rsidRDefault="00B02154" w:rsidP="00B02154">
      <w:pPr>
        <w:pStyle w:val="AralkYok"/>
        <w:jc w:val="both"/>
        <w:rPr>
          <w:sz w:val="24"/>
        </w:rPr>
      </w:pPr>
      <w:r w:rsidRPr="00B02154">
        <w:rPr>
          <w:sz w:val="24"/>
        </w:rPr>
        <w:t xml:space="preserve">Merkez Bankası Eylül ayı Para Politikası toplantısında kredi ivmesi ve finansal piyasalardaki gelişmelerden kaynaklı riskler sonucu enflasyon görünümündeki bozulmaya dikkat çekerken, parasal sıkılaştırmanın güçlendirilmesi vurgusunu yaptı. Ağırlıklı ortalama fonlama maliyeti %11,47 seviyelerine ulaşmış durumda. </w:t>
      </w:r>
    </w:p>
    <w:p w:rsidR="00B02154" w:rsidRPr="00B02154" w:rsidRDefault="00B02154" w:rsidP="00B02154">
      <w:pPr>
        <w:pStyle w:val="AralkYok"/>
        <w:rPr>
          <w:sz w:val="24"/>
        </w:rPr>
      </w:pPr>
    </w:p>
    <w:p w:rsidR="00B02154" w:rsidRPr="00B02154" w:rsidRDefault="00B02154" w:rsidP="00B02154">
      <w:pPr>
        <w:pStyle w:val="AralkYok"/>
        <w:jc w:val="both"/>
        <w:rPr>
          <w:sz w:val="24"/>
        </w:rPr>
      </w:pPr>
      <w:r w:rsidRPr="00B02154">
        <w:rPr>
          <w:sz w:val="24"/>
        </w:rPr>
        <w:t xml:space="preserve">Temmuz sonu itibarıyla son bulan genişleyici para politikasının büyüme üzerine olumlu etkilerini 3. çeyrekte görmeye başlayacağız. Artan </w:t>
      </w:r>
      <w:proofErr w:type="spellStart"/>
      <w:r w:rsidRPr="00B02154">
        <w:rPr>
          <w:sz w:val="24"/>
        </w:rPr>
        <w:t>Covid</w:t>
      </w:r>
      <w:proofErr w:type="spellEnd"/>
      <w:r w:rsidRPr="00B02154">
        <w:rPr>
          <w:sz w:val="24"/>
        </w:rPr>
        <w:t xml:space="preserve"> endişesi ve sıkılaşan finansal koşullar büyüme üzerindeki risklerin 4. çeyrekte aşağı yönlü olduğunu destekliyor. Bu çerçevede yılsonunda ekonomik aktivitedeki daralmanın </w:t>
      </w:r>
      <w:proofErr w:type="spellStart"/>
      <w:r w:rsidRPr="00B02154">
        <w:rPr>
          <w:sz w:val="24"/>
        </w:rPr>
        <w:t>pandeminin</w:t>
      </w:r>
      <w:proofErr w:type="spellEnd"/>
      <w:r w:rsidRPr="00B02154">
        <w:rPr>
          <w:sz w:val="24"/>
        </w:rPr>
        <w:t xml:space="preserve"> seyrine bağlı olarak yüzde 1.5-3 </w:t>
      </w:r>
      <w:proofErr w:type="gramStart"/>
      <w:r w:rsidRPr="00B02154">
        <w:rPr>
          <w:sz w:val="24"/>
        </w:rPr>
        <w:t>aralığında</w:t>
      </w:r>
      <w:proofErr w:type="gramEnd"/>
      <w:r w:rsidRPr="00B02154">
        <w:rPr>
          <w:sz w:val="24"/>
        </w:rPr>
        <w:t xml:space="preserve"> olacağını öngörmekteyiz. </w:t>
      </w:r>
    </w:p>
    <w:p w:rsidR="00B02154" w:rsidRDefault="00B02154" w:rsidP="00B02154">
      <w:pPr>
        <w:pStyle w:val="AralkYok"/>
        <w:rPr>
          <w:rFonts w:cstheme="minorHAnsi"/>
          <w:b/>
          <w:bCs/>
          <w:sz w:val="24"/>
        </w:rPr>
      </w:pPr>
    </w:p>
    <w:p w:rsidR="00B02154" w:rsidRDefault="00B02154" w:rsidP="00B02154">
      <w:pPr>
        <w:pStyle w:val="AralkYok"/>
        <w:rPr>
          <w:rFonts w:cstheme="minorHAnsi"/>
          <w:b/>
          <w:bCs/>
          <w:sz w:val="24"/>
        </w:rPr>
      </w:pPr>
      <w:r>
        <w:rPr>
          <w:rFonts w:cstheme="minorHAnsi"/>
          <w:b/>
          <w:bCs/>
          <w:sz w:val="24"/>
        </w:rPr>
        <w:t>ÖNCÜ GÖSTERGELER:</w:t>
      </w:r>
    </w:p>
    <w:p w:rsidR="00B02154" w:rsidRDefault="00B02154" w:rsidP="00B02154">
      <w:pPr>
        <w:pStyle w:val="AralkYok"/>
        <w:rPr>
          <w:rFonts w:cstheme="minorHAnsi"/>
          <w:b/>
          <w:bCs/>
          <w:sz w:val="24"/>
        </w:rPr>
      </w:pPr>
    </w:p>
    <w:p w:rsidR="00B02154" w:rsidRPr="00B02154" w:rsidRDefault="00B02154" w:rsidP="00764B77">
      <w:pPr>
        <w:pStyle w:val="AralkYok"/>
        <w:jc w:val="both"/>
        <w:rPr>
          <w:sz w:val="24"/>
        </w:rPr>
      </w:pPr>
      <w:r w:rsidRPr="00B02154">
        <w:rPr>
          <w:sz w:val="24"/>
        </w:rPr>
        <w:t xml:space="preserve">PMI Eylül ayında üretim ve yeni siparişlerdeki artışın hız kesmesine paralel gerilese de imalat sanayindeki toparlanmanın sürdüğüne işaret etti. </w:t>
      </w:r>
    </w:p>
    <w:p w:rsidR="00B02154" w:rsidRPr="00B02154" w:rsidRDefault="00B02154" w:rsidP="00764B77">
      <w:pPr>
        <w:pStyle w:val="AralkYok"/>
        <w:jc w:val="both"/>
        <w:rPr>
          <w:sz w:val="24"/>
        </w:rPr>
      </w:pPr>
    </w:p>
    <w:p w:rsidR="00B02154" w:rsidRPr="00B02154" w:rsidRDefault="00B02154" w:rsidP="00764B77">
      <w:pPr>
        <w:pStyle w:val="AralkYok"/>
        <w:jc w:val="both"/>
        <w:rPr>
          <w:sz w:val="24"/>
        </w:rPr>
      </w:pPr>
      <w:r w:rsidRPr="00B02154">
        <w:rPr>
          <w:sz w:val="24"/>
        </w:rPr>
        <w:t xml:space="preserve">Reel Kesim Güven endeksi ve kapasite kullanım oranı Eylül ayında sınırlı artış kaydetti. </w:t>
      </w:r>
    </w:p>
    <w:p w:rsidR="00B02154" w:rsidRPr="00B02154" w:rsidRDefault="00B02154" w:rsidP="00764B77">
      <w:pPr>
        <w:pStyle w:val="AralkYok"/>
        <w:jc w:val="both"/>
        <w:rPr>
          <w:rFonts w:cstheme="minorHAnsi"/>
          <w:sz w:val="28"/>
        </w:rPr>
      </w:pPr>
    </w:p>
    <w:p w:rsidR="00B02154" w:rsidRPr="00B02154" w:rsidRDefault="00B02154" w:rsidP="00764B77">
      <w:pPr>
        <w:pStyle w:val="AralkYok"/>
        <w:jc w:val="both"/>
        <w:rPr>
          <w:sz w:val="24"/>
        </w:rPr>
      </w:pPr>
      <w:proofErr w:type="spellStart"/>
      <w:r w:rsidRPr="00B02154">
        <w:rPr>
          <w:sz w:val="24"/>
        </w:rPr>
        <w:t>TUIK’in</w:t>
      </w:r>
      <w:proofErr w:type="spellEnd"/>
      <w:r w:rsidRPr="00B02154">
        <w:rPr>
          <w:sz w:val="24"/>
        </w:rPr>
        <w:t xml:space="preserve"> yeni </w:t>
      </w:r>
      <w:proofErr w:type="gramStart"/>
      <w:r w:rsidRPr="00B02154">
        <w:rPr>
          <w:sz w:val="24"/>
        </w:rPr>
        <w:t>metodolojiye</w:t>
      </w:r>
      <w:proofErr w:type="gramEnd"/>
      <w:r w:rsidRPr="00B02154">
        <w:rPr>
          <w:sz w:val="24"/>
        </w:rPr>
        <w:t xml:space="preserve"> göre oluşturduğu tüketici güven endeksi (TGE) son iki aydır gerilemeyi sürdürdükten sonra Eylül ayında bir önceki aya göre %3,2 oranında arttı </w:t>
      </w:r>
    </w:p>
    <w:p w:rsidR="00B02154" w:rsidRPr="00B02154" w:rsidRDefault="00B02154" w:rsidP="00764B77">
      <w:pPr>
        <w:pStyle w:val="AralkYok"/>
        <w:jc w:val="both"/>
        <w:rPr>
          <w:rFonts w:cstheme="minorHAnsi"/>
          <w:sz w:val="28"/>
        </w:rPr>
      </w:pPr>
    </w:p>
    <w:p w:rsidR="00B02154" w:rsidRPr="00B02154" w:rsidRDefault="00B02154" w:rsidP="00764B77">
      <w:pPr>
        <w:pStyle w:val="AralkYok"/>
        <w:jc w:val="both"/>
        <w:rPr>
          <w:sz w:val="24"/>
        </w:rPr>
      </w:pPr>
      <w:r w:rsidRPr="00B02154">
        <w:rPr>
          <w:sz w:val="24"/>
        </w:rPr>
        <w:t xml:space="preserve">İnşaat ve perakende sektörü güveni gerilerken, turizm sektöründeki toparlanma sınırlı kalmaya devam ediyor. İmalat dışı sektöreler güven </w:t>
      </w:r>
      <w:proofErr w:type="spellStart"/>
      <w:r w:rsidRPr="00B02154">
        <w:rPr>
          <w:sz w:val="24"/>
        </w:rPr>
        <w:t>pandemi</w:t>
      </w:r>
      <w:proofErr w:type="spellEnd"/>
      <w:r w:rsidRPr="00B02154">
        <w:rPr>
          <w:sz w:val="24"/>
        </w:rPr>
        <w:t xml:space="preserve"> öncesine dönüş henüz sağlamadı. </w:t>
      </w:r>
    </w:p>
    <w:p w:rsidR="00B02154" w:rsidRPr="00B02154" w:rsidRDefault="00B02154" w:rsidP="00764B77">
      <w:pPr>
        <w:pStyle w:val="AralkYok"/>
        <w:jc w:val="both"/>
        <w:rPr>
          <w:rFonts w:cstheme="minorHAnsi"/>
          <w:sz w:val="28"/>
        </w:rPr>
      </w:pPr>
    </w:p>
    <w:p w:rsidR="00B02154" w:rsidRPr="00B02154" w:rsidRDefault="00B02154" w:rsidP="00764B77">
      <w:pPr>
        <w:pStyle w:val="AralkYok"/>
        <w:jc w:val="both"/>
        <w:rPr>
          <w:sz w:val="24"/>
        </w:rPr>
      </w:pPr>
      <w:r w:rsidRPr="00B02154">
        <w:rPr>
          <w:sz w:val="24"/>
        </w:rPr>
        <w:t xml:space="preserve">Ağustos ayı dış ticaret açığı 6,3 milyar dolar kaydedildi. (Geçen yıl: 2,3 milyar USD). Altın ithalatı geçen yıla göre 3,3 milyar dolar artarak 4,1 milyar dolar oldu. </w:t>
      </w:r>
    </w:p>
    <w:p w:rsidR="00B02154" w:rsidRPr="00B02154" w:rsidRDefault="00B02154" w:rsidP="00764B77">
      <w:pPr>
        <w:pStyle w:val="AralkYok"/>
        <w:jc w:val="both"/>
        <w:rPr>
          <w:rFonts w:cstheme="minorHAnsi"/>
          <w:sz w:val="28"/>
        </w:rPr>
      </w:pPr>
    </w:p>
    <w:p w:rsidR="00B02154" w:rsidRPr="00B02154" w:rsidRDefault="00B02154" w:rsidP="00764B77">
      <w:pPr>
        <w:pStyle w:val="AralkYok"/>
        <w:jc w:val="both"/>
        <w:rPr>
          <w:sz w:val="24"/>
        </w:rPr>
      </w:pPr>
      <w:r w:rsidRPr="00B02154">
        <w:rPr>
          <w:sz w:val="24"/>
        </w:rPr>
        <w:t xml:space="preserve">Ocak-Temmuz ayına dönemi için toplam cari açık 21,6 milyar dolar seviyesinde bulunuyor. </w:t>
      </w:r>
    </w:p>
    <w:p w:rsidR="00B02154" w:rsidRPr="00B02154" w:rsidRDefault="00B02154" w:rsidP="00764B77">
      <w:pPr>
        <w:pStyle w:val="AralkYok"/>
        <w:jc w:val="both"/>
        <w:rPr>
          <w:rFonts w:cstheme="minorHAnsi"/>
          <w:sz w:val="28"/>
        </w:rPr>
      </w:pPr>
    </w:p>
    <w:p w:rsidR="00B02154" w:rsidRPr="00B02154" w:rsidRDefault="00B02154" w:rsidP="00764B77">
      <w:pPr>
        <w:pStyle w:val="AralkYok"/>
        <w:jc w:val="both"/>
        <w:rPr>
          <w:sz w:val="24"/>
        </w:rPr>
      </w:pPr>
      <w:r w:rsidRPr="00B02154">
        <w:rPr>
          <w:sz w:val="24"/>
        </w:rPr>
        <w:t xml:space="preserve">Eylül ayı enflasyonu %11,8 ile yatay seyrederken, çekirdek göstergeler enflasyon eğilimin yukarı yönlü olduğunu gösteriyor. </w:t>
      </w:r>
    </w:p>
    <w:p w:rsidR="00B02154" w:rsidRPr="00B02154" w:rsidRDefault="00B02154" w:rsidP="00764B77">
      <w:pPr>
        <w:pStyle w:val="AralkYok"/>
        <w:jc w:val="both"/>
        <w:rPr>
          <w:rFonts w:cstheme="minorHAnsi"/>
          <w:sz w:val="28"/>
        </w:rPr>
      </w:pPr>
    </w:p>
    <w:p w:rsidR="00B02154" w:rsidRPr="00B02154" w:rsidRDefault="00B02154" w:rsidP="00764B77">
      <w:pPr>
        <w:pStyle w:val="AralkYok"/>
        <w:jc w:val="both"/>
        <w:rPr>
          <w:sz w:val="24"/>
        </w:rPr>
      </w:pPr>
      <w:r w:rsidRPr="00B02154">
        <w:rPr>
          <w:sz w:val="24"/>
        </w:rPr>
        <w:t xml:space="preserve">Yabancı ziyaretçi sayısı Ağustos’ta geçen yıla göre %71 gerileyerek 1,8 milyon oldu. Azalan turizm gelirleri cari açık finansmanı üzerinde baskı oluşturuyor </w:t>
      </w:r>
    </w:p>
    <w:p w:rsidR="00B02154" w:rsidRPr="00B02154" w:rsidRDefault="00B02154" w:rsidP="00B02154">
      <w:pPr>
        <w:pStyle w:val="AralkYok"/>
        <w:rPr>
          <w:rFonts w:cstheme="minorHAnsi"/>
          <w:sz w:val="28"/>
        </w:rPr>
      </w:pPr>
    </w:p>
    <w:p w:rsidR="00B02154" w:rsidRPr="00B02154" w:rsidRDefault="00B02154" w:rsidP="00764B77">
      <w:pPr>
        <w:pStyle w:val="AralkYok"/>
        <w:jc w:val="both"/>
        <w:rPr>
          <w:sz w:val="24"/>
        </w:rPr>
      </w:pPr>
      <w:r w:rsidRPr="00B02154">
        <w:rPr>
          <w:sz w:val="24"/>
        </w:rPr>
        <w:t xml:space="preserve">İşsizlik oranı bir önceki döneme göre 0,3 puan artarak %14,3 oldu, istihdam geçtiğimiz sene Haziran ayına göre 2 milyon daha düşük seyrediyor. </w:t>
      </w:r>
    </w:p>
    <w:p w:rsidR="00B02154" w:rsidRPr="00B02154" w:rsidRDefault="00B02154" w:rsidP="00764B77">
      <w:pPr>
        <w:pStyle w:val="AralkYok"/>
        <w:jc w:val="both"/>
        <w:rPr>
          <w:rFonts w:cstheme="minorHAnsi"/>
          <w:sz w:val="28"/>
        </w:rPr>
      </w:pPr>
    </w:p>
    <w:p w:rsidR="00B02154" w:rsidRPr="00B02154" w:rsidRDefault="00B02154" w:rsidP="00764B77">
      <w:pPr>
        <w:pStyle w:val="AralkYok"/>
        <w:jc w:val="both"/>
        <w:rPr>
          <w:sz w:val="24"/>
        </w:rPr>
      </w:pPr>
      <w:r w:rsidRPr="00B02154">
        <w:rPr>
          <w:sz w:val="24"/>
        </w:rPr>
        <w:t xml:space="preserve">Q2 GSYHI geçtiğimiz sene aynı döneme göre %11 daraldı, 2. Çeyrek daralması Avrupa birliğindeki ortalama daralma oranına (%11,4) yakın seyrediyor. </w:t>
      </w:r>
    </w:p>
    <w:p w:rsidR="00B02154" w:rsidRPr="00B02154" w:rsidRDefault="00B02154" w:rsidP="00764B77">
      <w:pPr>
        <w:pStyle w:val="AralkYok"/>
        <w:jc w:val="both"/>
        <w:rPr>
          <w:rFonts w:cstheme="minorHAnsi"/>
          <w:sz w:val="28"/>
        </w:rPr>
      </w:pPr>
    </w:p>
    <w:p w:rsidR="00B02154" w:rsidRPr="00B02154" w:rsidRDefault="00B02154" w:rsidP="00764B77">
      <w:pPr>
        <w:pStyle w:val="AralkYok"/>
        <w:jc w:val="both"/>
        <w:rPr>
          <w:sz w:val="24"/>
        </w:rPr>
      </w:pPr>
      <w:r w:rsidRPr="00B02154">
        <w:rPr>
          <w:sz w:val="24"/>
        </w:rPr>
        <w:t xml:space="preserve">200 </w:t>
      </w:r>
      <w:proofErr w:type="spellStart"/>
      <w:r w:rsidRPr="00B02154">
        <w:rPr>
          <w:sz w:val="24"/>
        </w:rPr>
        <w:t>bp</w:t>
      </w:r>
      <w:proofErr w:type="spellEnd"/>
      <w:r w:rsidRPr="00B02154">
        <w:rPr>
          <w:sz w:val="24"/>
        </w:rPr>
        <w:t xml:space="preserve"> faiz artırımından sonra Merkez Bankasının ortalama fonlama faizi Temmuz ortalarında kaydedilen 7,34 seviyelerinden 11,47 seviyelerine ulaşmış durumda. </w:t>
      </w:r>
    </w:p>
    <w:p w:rsidR="00B02154" w:rsidRPr="00B02154" w:rsidRDefault="00B02154" w:rsidP="00764B77">
      <w:pPr>
        <w:pStyle w:val="AralkYok"/>
        <w:jc w:val="both"/>
        <w:rPr>
          <w:rFonts w:cstheme="minorHAnsi"/>
          <w:sz w:val="28"/>
        </w:rPr>
      </w:pPr>
    </w:p>
    <w:p w:rsidR="00B02154" w:rsidRPr="00B02154" w:rsidRDefault="00B02154" w:rsidP="00764B77">
      <w:pPr>
        <w:pStyle w:val="AralkYok"/>
        <w:jc w:val="both"/>
        <w:rPr>
          <w:sz w:val="24"/>
        </w:rPr>
      </w:pPr>
      <w:r w:rsidRPr="00B02154">
        <w:rPr>
          <w:sz w:val="24"/>
        </w:rPr>
        <w:t>Kredi kartı har</w:t>
      </w:r>
      <w:r w:rsidR="00764B77">
        <w:rPr>
          <w:sz w:val="24"/>
        </w:rPr>
        <w:t xml:space="preserve">camalarına ilişkin </w:t>
      </w:r>
      <w:proofErr w:type="gramStart"/>
      <w:r w:rsidR="00764B77">
        <w:rPr>
          <w:sz w:val="24"/>
        </w:rPr>
        <w:t>trend</w:t>
      </w:r>
      <w:proofErr w:type="gramEnd"/>
      <w:r w:rsidR="00764B77">
        <w:rPr>
          <w:sz w:val="24"/>
        </w:rPr>
        <w:t xml:space="preserve"> göster</w:t>
      </w:r>
      <w:r w:rsidRPr="00B02154">
        <w:rPr>
          <w:sz w:val="24"/>
        </w:rPr>
        <w:t>g</w:t>
      </w:r>
      <w:r w:rsidR="00764B77">
        <w:rPr>
          <w:sz w:val="24"/>
        </w:rPr>
        <w:t>e</w:t>
      </w:r>
      <w:r w:rsidRPr="00B02154">
        <w:rPr>
          <w:sz w:val="24"/>
        </w:rPr>
        <w:t xml:space="preserve">ler Eylül ayı itibarıyla yatay seyrederek talep tarafında yavaşlamanın sinyalini veriyor. </w:t>
      </w:r>
    </w:p>
    <w:p w:rsidR="00B02154" w:rsidRPr="00B02154" w:rsidRDefault="00B02154" w:rsidP="00764B77">
      <w:pPr>
        <w:pStyle w:val="AralkYok"/>
        <w:jc w:val="both"/>
        <w:rPr>
          <w:rFonts w:cstheme="minorHAnsi"/>
          <w:sz w:val="28"/>
        </w:rPr>
      </w:pPr>
    </w:p>
    <w:p w:rsidR="00B02154" w:rsidRPr="00B02154" w:rsidRDefault="00B02154" w:rsidP="00764B77">
      <w:pPr>
        <w:pStyle w:val="AralkYok"/>
        <w:jc w:val="both"/>
        <w:rPr>
          <w:sz w:val="24"/>
        </w:rPr>
      </w:pPr>
      <w:r w:rsidRPr="00B02154">
        <w:rPr>
          <w:sz w:val="24"/>
        </w:rPr>
        <w:t xml:space="preserve">Sıkı parasal koşullara paralel kredi faizlerinde artış sürüyor. 25 Eylül haftasında ticari kredi faizi %14,75, konut %14,8, ihtiyaç %,18,9, taşıt %17,1 seviyesinde bulunuyor. </w:t>
      </w:r>
    </w:p>
    <w:p w:rsidR="00B02154" w:rsidRPr="00B02154" w:rsidRDefault="00B02154" w:rsidP="00764B77">
      <w:pPr>
        <w:pStyle w:val="AralkYok"/>
        <w:jc w:val="both"/>
        <w:rPr>
          <w:rFonts w:cstheme="minorHAnsi"/>
          <w:sz w:val="28"/>
        </w:rPr>
      </w:pPr>
    </w:p>
    <w:p w:rsidR="00B02154" w:rsidRPr="00B02154" w:rsidRDefault="00B02154" w:rsidP="00764B77">
      <w:pPr>
        <w:pStyle w:val="AralkYok"/>
        <w:jc w:val="both"/>
        <w:rPr>
          <w:sz w:val="24"/>
        </w:rPr>
      </w:pPr>
      <w:r w:rsidRPr="00B02154">
        <w:rPr>
          <w:sz w:val="24"/>
        </w:rPr>
        <w:lastRenderedPageBreak/>
        <w:t xml:space="preserve">Net rezervler 25 Eylül haftası 20 milyar doların altına gerilerken, brüt rezervler ise 42,4 milyar dolar olarak kaydedildi. </w:t>
      </w:r>
    </w:p>
    <w:p w:rsidR="00B02154" w:rsidRPr="00B02154" w:rsidRDefault="00B02154" w:rsidP="00764B77">
      <w:pPr>
        <w:pStyle w:val="AralkYok"/>
        <w:jc w:val="both"/>
        <w:rPr>
          <w:rFonts w:cstheme="minorHAnsi"/>
          <w:sz w:val="28"/>
        </w:rPr>
      </w:pPr>
    </w:p>
    <w:p w:rsidR="00B02154" w:rsidRPr="00B02154" w:rsidRDefault="00B02154" w:rsidP="00764B77">
      <w:pPr>
        <w:pStyle w:val="AralkYok"/>
        <w:jc w:val="both"/>
        <w:rPr>
          <w:sz w:val="24"/>
        </w:rPr>
      </w:pPr>
      <w:r w:rsidRPr="00B02154">
        <w:rPr>
          <w:sz w:val="24"/>
        </w:rPr>
        <w:t xml:space="preserve">Yurtiçi yerleşiklerin döviz mevduatı sene başından beri 23,4 dolar milyar artış kaydetti. Parite etkisinden arındırıldığında 25 Eylül haftasında artış devam ediyor… </w:t>
      </w:r>
    </w:p>
    <w:p w:rsidR="00764B77" w:rsidRDefault="00764B77" w:rsidP="00764B77">
      <w:pPr>
        <w:pStyle w:val="AralkYok"/>
        <w:jc w:val="both"/>
        <w:rPr>
          <w:sz w:val="24"/>
        </w:rPr>
      </w:pPr>
    </w:p>
    <w:p w:rsidR="00B02154" w:rsidRDefault="00B02154" w:rsidP="00764B77">
      <w:pPr>
        <w:pStyle w:val="AralkYok"/>
        <w:jc w:val="both"/>
        <w:rPr>
          <w:sz w:val="24"/>
        </w:rPr>
      </w:pPr>
      <w:r w:rsidRPr="00B02154">
        <w:rPr>
          <w:sz w:val="24"/>
        </w:rPr>
        <w:t xml:space="preserve">25 Eylül haftasında toplam kredilerin artışı* Mayıs ve Haziran aylarındaki %50 seviyelerinden %20’nin altına gerilese de hala yüksek seyrediyor. </w:t>
      </w:r>
    </w:p>
    <w:p w:rsidR="00764B77" w:rsidRDefault="00764B77" w:rsidP="00764B77">
      <w:pPr>
        <w:pStyle w:val="AralkYok"/>
        <w:jc w:val="both"/>
        <w:rPr>
          <w:sz w:val="24"/>
        </w:rPr>
      </w:pPr>
    </w:p>
    <w:p w:rsidR="00764B77" w:rsidRPr="00764B77" w:rsidRDefault="00764B77" w:rsidP="00764B77">
      <w:pPr>
        <w:pStyle w:val="AralkYok"/>
        <w:pBdr>
          <w:top w:val="single" w:sz="6" w:space="1" w:color="auto"/>
          <w:bottom w:val="single" w:sz="6" w:space="1" w:color="auto"/>
        </w:pBdr>
        <w:jc w:val="center"/>
        <w:rPr>
          <w:b/>
          <w:sz w:val="24"/>
        </w:rPr>
      </w:pPr>
      <w:r w:rsidRPr="00764B77">
        <w:rPr>
          <w:b/>
          <w:sz w:val="24"/>
        </w:rPr>
        <w:t>GÜNMARSİFED TAHMİNLERİ</w:t>
      </w:r>
    </w:p>
    <w:p w:rsidR="00764B77" w:rsidRPr="00B02154" w:rsidRDefault="00764B77" w:rsidP="00764B77">
      <w:pPr>
        <w:pStyle w:val="AralkYok"/>
        <w:jc w:val="both"/>
        <w:rPr>
          <w:sz w:val="24"/>
        </w:rPr>
      </w:pPr>
    </w:p>
    <w:tbl>
      <w:tblPr>
        <w:tblStyle w:val="TabloKlavuzu"/>
        <w:tblW w:w="0" w:type="auto"/>
        <w:tblLook w:val="04A0" w:firstRow="1" w:lastRow="0" w:firstColumn="1" w:lastColumn="0" w:noHBand="0" w:noVBand="1"/>
      </w:tblPr>
      <w:tblGrid>
        <w:gridCol w:w="4503"/>
        <w:gridCol w:w="1275"/>
        <w:gridCol w:w="1134"/>
        <w:gridCol w:w="1276"/>
        <w:gridCol w:w="1024"/>
      </w:tblGrid>
      <w:tr w:rsidR="00764B77" w:rsidTr="00E46A20">
        <w:tc>
          <w:tcPr>
            <w:tcW w:w="4503" w:type="dxa"/>
            <w:shd w:val="clear" w:color="auto" w:fill="BFBFBF" w:themeFill="background1" w:themeFillShade="BF"/>
          </w:tcPr>
          <w:p w:rsidR="00764B77" w:rsidRDefault="00764B77" w:rsidP="00B02154">
            <w:pPr>
              <w:pStyle w:val="AralkYok"/>
              <w:rPr>
                <w:rFonts w:cstheme="minorHAnsi"/>
                <w:sz w:val="28"/>
              </w:rPr>
            </w:pPr>
          </w:p>
        </w:tc>
        <w:tc>
          <w:tcPr>
            <w:tcW w:w="1275" w:type="dxa"/>
            <w:shd w:val="clear" w:color="auto" w:fill="BFBFBF" w:themeFill="background1" w:themeFillShade="BF"/>
          </w:tcPr>
          <w:p w:rsidR="00764B77" w:rsidRDefault="00764B77" w:rsidP="00764B77">
            <w:pPr>
              <w:pStyle w:val="AralkYok"/>
              <w:jc w:val="center"/>
              <w:rPr>
                <w:rFonts w:cstheme="minorHAnsi"/>
                <w:sz w:val="28"/>
              </w:rPr>
            </w:pPr>
            <w:r>
              <w:rPr>
                <w:rFonts w:cstheme="minorHAnsi"/>
                <w:sz w:val="28"/>
              </w:rPr>
              <w:t>2018</w:t>
            </w:r>
          </w:p>
        </w:tc>
        <w:tc>
          <w:tcPr>
            <w:tcW w:w="1134" w:type="dxa"/>
            <w:shd w:val="clear" w:color="auto" w:fill="BFBFBF" w:themeFill="background1" w:themeFillShade="BF"/>
          </w:tcPr>
          <w:p w:rsidR="00764B77" w:rsidRDefault="00764B77" w:rsidP="00764B77">
            <w:pPr>
              <w:pStyle w:val="AralkYok"/>
              <w:jc w:val="center"/>
              <w:rPr>
                <w:rFonts w:cstheme="minorHAnsi"/>
                <w:sz w:val="28"/>
              </w:rPr>
            </w:pPr>
            <w:r>
              <w:rPr>
                <w:rFonts w:cstheme="minorHAnsi"/>
                <w:sz w:val="28"/>
              </w:rPr>
              <w:t>2019</w:t>
            </w:r>
          </w:p>
        </w:tc>
        <w:tc>
          <w:tcPr>
            <w:tcW w:w="1276" w:type="dxa"/>
            <w:shd w:val="clear" w:color="auto" w:fill="BFBFBF" w:themeFill="background1" w:themeFillShade="BF"/>
          </w:tcPr>
          <w:p w:rsidR="00764B77" w:rsidRDefault="00764B77" w:rsidP="00764B77">
            <w:pPr>
              <w:pStyle w:val="AralkYok"/>
              <w:jc w:val="center"/>
              <w:rPr>
                <w:rFonts w:cstheme="minorHAnsi"/>
                <w:sz w:val="28"/>
              </w:rPr>
            </w:pPr>
            <w:r>
              <w:rPr>
                <w:rFonts w:cstheme="minorHAnsi"/>
                <w:sz w:val="28"/>
              </w:rPr>
              <w:t>2020</w:t>
            </w:r>
          </w:p>
        </w:tc>
        <w:tc>
          <w:tcPr>
            <w:tcW w:w="1024" w:type="dxa"/>
            <w:shd w:val="clear" w:color="auto" w:fill="BFBFBF" w:themeFill="background1" w:themeFillShade="BF"/>
          </w:tcPr>
          <w:p w:rsidR="00764B77" w:rsidRDefault="00764B77" w:rsidP="00764B77">
            <w:pPr>
              <w:pStyle w:val="AralkYok"/>
              <w:jc w:val="center"/>
              <w:rPr>
                <w:rFonts w:cstheme="minorHAnsi"/>
                <w:sz w:val="28"/>
              </w:rPr>
            </w:pPr>
            <w:r>
              <w:rPr>
                <w:rFonts w:cstheme="minorHAnsi"/>
                <w:sz w:val="28"/>
              </w:rPr>
              <w:t>2021</w:t>
            </w:r>
          </w:p>
        </w:tc>
      </w:tr>
      <w:tr w:rsidR="004D15B1" w:rsidTr="00E46A20">
        <w:tc>
          <w:tcPr>
            <w:tcW w:w="4503" w:type="dxa"/>
          </w:tcPr>
          <w:p w:rsidR="004D15B1" w:rsidRPr="004D15B1" w:rsidRDefault="004D15B1" w:rsidP="004D15B1">
            <w:pPr>
              <w:pStyle w:val="AralkYok"/>
              <w:rPr>
                <w:rFonts w:cstheme="minorHAnsi"/>
                <w:sz w:val="24"/>
              </w:rPr>
            </w:pPr>
            <w:r w:rsidRPr="004D15B1">
              <w:rPr>
                <w:sz w:val="24"/>
              </w:rPr>
              <w:t xml:space="preserve">GSYH büyümesi (%, </w:t>
            </w:r>
            <w:proofErr w:type="gramStart"/>
            <w:r w:rsidRPr="004D15B1">
              <w:rPr>
                <w:sz w:val="24"/>
              </w:rPr>
              <w:t>yıl sonu</w:t>
            </w:r>
            <w:proofErr w:type="gramEnd"/>
            <w:r w:rsidRPr="004D15B1">
              <w:rPr>
                <w:sz w:val="24"/>
              </w:rPr>
              <w:t xml:space="preserve">) </w:t>
            </w:r>
          </w:p>
        </w:tc>
        <w:tc>
          <w:tcPr>
            <w:tcW w:w="1275" w:type="dxa"/>
          </w:tcPr>
          <w:p w:rsidR="004D15B1" w:rsidRPr="004D15B1" w:rsidRDefault="004D15B1" w:rsidP="00E46A20">
            <w:pPr>
              <w:pStyle w:val="AralkYok"/>
              <w:jc w:val="center"/>
              <w:rPr>
                <w:sz w:val="24"/>
              </w:rPr>
            </w:pPr>
            <w:r w:rsidRPr="004D15B1">
              <w:rPr>
                <w:sz w:val="24"/>
              </w:rPr>
              <w:t>2.8</w:t>
            </w:r>
          </w:p>
        </w:tc>
        <w:tc>
          <w:tcPr>
            <w:tcW w:w="1134" w:type="dxa"/>
          </w:tcPr>
          <w:p w:rsidR="004D15B1" w:rsidRPr="004D15B1" w:rsidRDefault="004D15B1" w:rsidP="00E46A20">
            <w:pPr>
              <w:pStyle w:val="AralkYok"/>
              <w:jc w:val="center"/>
              <w:rPr>
                <w:sz w:val="24"/>
              </w:rPr>
            </w:pPr>
            <w:r w:rsidRPr="004D15B1">
              <w:rPr>
                <w:sz w:val="24"/>
              </w:rPr>
              <w:t>0.9</w:t>
            </w:r>
          </w:p>
        </w:tc>
        <w:tc>
          <w:tcPr>
            <w:tcW w:w="1276" w:type="dxa"/>
          </w:tcPr>
          <w:p w:rsidR="004D15B1" w:rsidRPr="004D15B1" w:rsidRDefault="004D15B1" w:rsidP="00E46A20">
            <w:pPr>
              <w:pStyle w:val="AralkYok"/>
              <w:jc w:val="center"/>
              <w:rPr>
                <w:sz w:val="24"/>
              </w:rPr>
            </w:pPr>
            <w:r w:rsidRPr="004D15B1">
              <w:rPr>
                <w:sz w:val="24"/>
              </w:rPr>
              <w:t>-3.0</w:t>
            </w:r>
          </w:p>
        </w:tc>
        <w:tc>
          <w:tcPr>
            <w:tcW w:w="1024" w:type="dxa"/>
          </w:tcPr>
          <w:p w:rsidR="004D15B1" w:rsidRPr="004D15B1" w:rsidRDefault="004D15B1" w:rsidP="00E46A20">
            <w:pPr>
              <w:pStyle w:val="AralkYok"/>
              <w:jc w:val="center"/>
              <w:rPr>
                <w:sz w:val="24"/>
              </w:rPr>
            </w:pPr>
            <w:r w:rsidRPr="004D15B1">
              <w:rPr>
                <w:sz w:val="24"/>
              </w:rPr>
              <w:t>3.8</w:t>
            </w:r>
          </w:p>
        </w:tc>
      </w:tr>
      <w:tr w:rsidR="004D15B1" w:rsidTr="00E46A20">
        <w:tc>
          <w:tcPr>
            <w:tcW w:w="4503" w:type="dxa"/>
          </w:tcPr>
          <w:p w:rsidR="004D15B1" w:rsidRPr="004D15B1" w:rsidRDefault="004D15B1" w:rsidP="004D15B1">
            <w:pPr>
              <w:pStyle w:val="AralkYok"/>
              <w:rPr>
                <w:rFonts w:cstheme="minorHAnsi"/>
                <w:sz w:val="24"/>
              </w:rPr>
            </w:pPr>
            <w:r w:rsidRPr="004D15B1">
              <w:rPr>
                <w:sz w:val="24"/>
              </w:rPr>
              <w:t xml:space="preserve">Nominal GSYH, milyar TL </w:t>
            </w:r>
          </w:p>
        </w:tc>
        <w:tc>
          <w:tcPr>
            <w:tcW w:w="1275" w:type="dxa"/>
          </w:tcPr>
          <w:p w:rsidR="004D15B1" w:rsidRPr="004D15B1" w:rsidRDefault="004D15B1" w:rsidP="00E46A20">
            <w:pPr>
              <w:pStyle w:val="AralkYok"/>
              <w:jc w:val="center"/>
              <w:rPr>
                <w:sz w:val="24"/>
              </w:rPr>
            </w:pPr>
            <w:r w:rsidRPr="004D15B1">
              <w:rPr>
                <w:sz w:val="24"/>
              </w:rPr>
              <w:t>3,724</w:t>
            </w:r>
          </w:p>
        </w:tc>
        <w:tc>
          <w:tcPr>
            <w:tcW w:w="1134" w:type="dxa"/>
          </w:tcPr>
          <w:p w:rsidR="004D15B1" w:rsidRPr="004D15B1" w:rsidRDefault="004D15B1" w:rsidP="00E46A20">
            <w:pPr>
              <w:pStyle w:val="AralkYok"/>
              <w:jc w:val="center"/>
              <w:rPr>
                <w:sz w:val="24"/>
              </w:rPr>
            </w:pPr>
            <w:r w:rsidRPr="004D15B1">
              <w:rPr>
                <w:sz w:val="24"/>
              </w:rPr>
              <w:t>4,280</w:t>
            </w:r>
          </w:p>
        </w:tc>
        <w:tc>
          <w:tcPr>
            <w:tcW w:w="1276" w:type="dxa"/>
          </w:tcPr>
          <w:p w:rsidR="004D15B1" w:rsidRPr="004D15B1" w:rsidRDefault="004D15B1" w:rsidP="00E46A20">
            <w:pPr>
              <w:pStyle w:val="AralkYok"/>
              <w:jc w:val="center"/>
              <w:rPr>
                <w:sz w:val="24"/>
              </w:rPr>
            </w:pPr>
            <w:r w:rsidRPr="004D15B1">
              <w:rPr>
                <w:sz w:val="24"/>
              </w:rPr>
              <w:t>4,656</w:t>
            </w:r>
          </w:p>
        </w:tc>
        <w:tc>
          <w:tcPr>
            <w:tcW w:w="1024" w:type="dxa"/>
          </w:tcPr>
          <w:p w:rsidR="004D15B1" w:rsidRPr="004D15B1" w:rsidRDefault="004D15B1" w:rsidP="00E46A20">
            <w:pPr>
              <w:pStyle w:val="AralkYok"/>
              <w:jc w:val="center"/>
              <w:rPr>
                <w:sz w:val="24"/>
              </w:rPr>
            </w:pPr>
            <w:r w:rsidRPr="004D15B1">
              <w:rPr>
                <w:sz w:val="24"/>
              </w:rPr>
              <w:t>5,399</w:t>
            </w:r>
          </w:p>
        </w:tc>
      </w:tr>
      <w:tr w:rsidR="004D15B1" w:rsidTr="00E46A20">
        <w:tc>
          <w:tcPr>
            <w:tcW w:w="4503" w:type="dxa"/>
          </w:tcPr>
          <w:p w:rsidR="004D15B1" w:rsidRPr="004D15B1" w:rsidRDefault="004D15B1" w:rsidP="004D15B1">
            <w:pPr>
              <w:pStyle w:val="AralkYok"/>
              <w:rPr>
                <w:rFonts w:cstheme="minorHAnsi"/>
                <w:sz w:val="24"/>
              </w:rPr>
            </w:pPr>
            <w:r w:rsidRPr="004D15B1">
              <w:rPr>
                <w:sz w:val="24"/>
              </w:rPr>
              <w:t xml:space="preserve">Nominal GSYH, milyar $ </w:t>
            </w:r>
          </w:p>
        </w:tc>
        <w:tc>
          <w:tcPr>
            <w:tcW w:w="1275" w:type="dxa"/>
          </w:tcPr>
          <w:p w:rsidR="004D15B1" w:rsidRPr="004D15B1" w:rsidRDefault="004D15B1" w:rsidP="00E46A20">
            <w:pPr>
              <w:pStyle w:val="AralkYok"/>
              <w:jc w:val="center"/>
              <w:rPr>
                <w:sz w:val="24"/>
              </w:rPr>
            </w:pPr>
            <w:r w:rsidRPr="004D15B1">
              <w:rPr>
                <w:sz w:val="24"/>
              </w:rPr>
              <w:t>784</w:t>
            </w:r>
          </w:p>
        </w:tc>
        <w:tc>
          <w:tcPr>
            <w:tcW w:w="1134" w:type="dxa"/>
          </w:tcPr>
          <w:p w:rsidR="004D15B1" w:rsidRPr="004D15B1" w:rsidRDefault="004D15B1" w:rsidP="00E46A20">
            <w:pPr>
              <w:pStyle w:val="AralkYok"/>
              <w:jc w:val="center"/>
              <w:rPr>
                <w:sz w:val="24"/>
              </w:rPr>
            </w:pPr>
            <w:r w:rsidRPr="004D15B1">
              <w:rPr>
                <w:sz w:val="24"/>
              </w:rPr>
              <w:t>754</w:t>
            </w:r>
          </w:p>
        </w:tc>
        <w:tc>
          <w:tcPr>
            <w:tcW w:w="1276" w:type="dxa"/>
          </w:tcPr>
          <w:p w:rsidR="004D15B1" w:rsidRPr="004D15B1" w:rsidRDefault="004D15B1" w:rsidP="00E46A20">
            <w:pPr>
              <w:pStyle w:val="AralkYok"/>
              <w:jc w:val="center"/>
              <w:rPr>
                <w:sz w:val="24"/>
              </w:rPr>
            </w:pPr>
            <w:r w:rsidRPr="004D15B1">
              <w:rPr>
                <w:sz w:val="24"/>
              </w:rPr>
              <w:t>670</w:t>
            </w:r>
          </w:p>
        </w:tc>
        <w:tc>
          <w:tcPr>
            <w:tcW w:w="1024" w:type="dxa"/>
          </w:tcPr>
          <w:p w:rsidR="004D15B1" w:rsidRPr="004D15B1" w:rsidRDefault="004D15B1" w:rsidP="00E46A20">
            <w:pPr>
              <w:pStyle w:val="AralkYok"/>
              <w:jc w:val="center"/>
              <w:rPr>
                <w:sz w:val="24"/>
              </w:rPr>
            </w:pPr>
            <w:r w:rsidRPr="004D15B1">
              <w:rPr>
                <w:sz w:val="24"/>
              </w:rPr>
              <w:t>675</w:t>
            </w:r>
          </w:p>
        </w:tc>
      </w:tr>
      <w:tr w:rsidR="004D15B1" w:rsidTr="00E46A20">
        <w:tc>
          <w:tcPr>
            <w:tcW w:w="4503" w:type="dxa"/>
          </w:tcPr>
          <w:p w:rsidR="004D15B1" w:rsidRPr="004D15B1" w:rsidRDefault="004D15B1" w:rsidP="004D15B1">
            <w:pPr>
              <w:pStyle w:val="AralkYok"/>
              <w:rPr>
                <w:rFonts w:cstheme="minorHAnsi"/>
                <w:sz w:val="24"/>
              </w:rPr>
            </w:pPr>
            <w:r w:rsidRPr="004D15B1">
              <w:rPr>
                <w:sz w:val="24"/>
              </w:rPr>
              <w:t xml:space="preserve">Kişi başı milli gelir ($) </w:t>
            </w:r>
          </w:p>
        </w:tc>
        <w:tc>
          <w:tcPr>
            <w:tcW w:w="1275" w:type="dxa"/>
          </w:tcPr>
          <w:p w:rsidR="004D15B1" w:rsidRPr="004D15B1" w:rsidRDefault="004D15B1" w:rsidP="00E46A20">
            <w:pPr>
              <w:pStyle w:val="AralkYok"/>
              <w:jc w:val="center"/>
              <w:rPr>
                <w:sz w:val="24"/>
              </w:rPr>
            </w:pPr>
            <w:r w:rsidRPr="004D15B1">
              <w:rPr>
                <w:sz w:val="24"/>
              </w:rPr>
              <w:t>9,437</w:t>
            </w:r>
          </w:p>
        </w:tc>
        <w:tc>
          <w:tcPr>
            <w:tcW w:w="1134" w:type="dxa"/>
          </w:tcPr>
          <w:p w:rsidR="004D15B1" w:rsidRPr="004D15B1" w:rsidRDefault="004D15B1" w:rsidP="00E46A20">
            <w:pPr>
              <w:pStyle w:val="AralkYok"/>
              <w:jc w:val="center"/>
              <w:rPr>
                <w:sz w:val="24"/>
              </w:rPr>
            </w:pPr>
            <w:r w:rsidRPr="004D15B1">
              <w:rPr>
                <w:sz w:val="24"/>
              </w:rPr>
              <w:t>9,107</w:t>
            </w:r>
          </w:p>
        </w:tc>
        <w:tc>
          <w:tcPr>
            <w:tcW w:w="1276" w:type="dxa"/>
          </w:tcPr>
          <w:p w:rsidR="004D15B1" w:rsidRPr="004D15B1" w:rsidRDefault="004D15B1" w:rsidP="00E46A20">
            <w:pPr>
              <w:pStyle w:val="AralkYok"/>
              <w:jc w:val="center"/>
              <w:rPr>
                <w:sz w:val="24"/>
              </w:rPr>
            </w:pPr>
            <w:r w:rsidRPr="004D15B1">
              <w:rPr>
                <w:sz w:val="24"/>
              </w:rPr>
              <w:t>7,984</w:t>
            </w:r>
          </w:p>
        </w:tc>
        <w:tc>
          <w:tcPr>
            <w:tcW w:w="1024" w:type="dxa"/>
          </w:tcPr>
          <w:p w:rsidR="004D15B1" w:rsidRPr="004D15B1" w:rsidRDefault="004D15B1" w:rsidP="00E46A20">
            <w:pPr>
              <w:pStyle w:val="AralkYok"/>
              <w:jc w:val="center"/>
              <w:rPr>
                <w:sz w:val="24"/>
              </w:rPr>
            </w:pPr>
            <w:r w:rsidRPr="004D15B1">
              <w:rPr>
                <w:sz w:val="24"/>
              </w:rPr>
              <w:t>7,949</w:t>
            </w:r>
          </w:p>
        </w:tc>
      </w:tr>
      <w:tr w:rsidR="004D15B1" w:rsidTr="00E46A20">
        <w:tc>
          <w:tcPr>
            <w:tcW w:w="4503" w:type="dxa"/>
          </w:tcPr>
          <w:p w:rsidR="004D15B1" w:rsidRPr="004D15B1" w:rsidRDefault="004D15B1" w:rsidP="004D15B1">
            <w:pPr>
              <w:pStyle w:val="AralkYok"/>
              <w:rPr>
                <w:rFonts w:cstheme="minorHAnsi"/>
                <w:sz w:val="24"/>
              </w:rPr>
            </w:pPr>
            <w:r w:rsidRPr="004D15B1">
              <w:rPr>
                <w:sz w:val="24"/>
              </w:rPr>
              <w:t xml:space="preserve">Enflasyon (y/y) </w:t>
            </w:r>
          </w:p>
        </w:tc>
        <w:tc>
          <w:tcPr>
            <w:tcW w:w="1275" w:type="dxa"/>
          </w:tcPr>
          <w:p w:rsidR="004D15B1" w:rsidRPr="004D15B1" w:rsidRDefault="004D15B1" w:rsidP="00E46A20">
            <w:pPr>
              <w:pStyle w:val="AralkYok"/>
              <w:jc w:val="center"/>
              <w:rPr>
                <w:sz w:val="24"/>
              </w:rPr>
            </w:pPr>
            <w:r w:rsidRPr="004D15B1">
              <w:rPr>
                <w:sz w:val="24"/>
              </w:rPr>
              <w:t>20.3</w:t>
            </w:r>
          </w:p>
        </w:tc>
        <w:tc>
          <w:tcPr>
            <w:tcW w:w="1134" w:type="dxa"/>
          </w:tcPr>
          <w:p w:rsidR="004D15B1" w:rsidRPr="004D15B1" w:rsidRDefault="004D15B1" w:rsidP="00E46A20">
            <w:pPr>
              <w:pStyle w:val="AralkYok"/>
              <w:jc w:val="center"/>
              <w:rPr>
                <w:sz w:val="24"/>
              </w:rPr>
            </w:pPr>
            <w:r w:rsidRPr="004D15B1">
              <w:rPr>
                <w:sz w:val="24"/>
              </w:rPr>
              <w:t>11.8</w:t>
            </w:r>
          </w:p>
        </w:tc>
        <w:tc>
          <w:tcPr>
            <w:tcW w:w="1276" w:type="dxa"/>
          </w:tcPr>
          <w:p w:rsidR="004D15B1" w:rsidRPr="004D15B1" w:rsidRDefault="004D15B1" w:rsidP="00E46A20">
            <w:pPr>
              <w:pStyle w:val="AralkYok"/>
              <w:jc w:val="center"/>
              <w:rPr>
                <w:sz w:val="24"/>
              </w:rPr>
            </w:pPr>
            <w:r w:rsidRPr="004D15B1">
              <w:rPr>
                <w:sz w:val="24"/>
              </w:rPr>
              <w:t>12.0</w:t>
            </w:r>
          </w:p>
        </w:tc>
        <w:tc>
          <w:tcPr>
            <w:tcW w:w="1024" w:type="dxa"/>
          </w:tcPr>
          <w:p w:rsidR="004D15B1" w:rsidRPr="004D15B1" w:rsidRDefault="004D15B1" w:rsidP="00E46A20">
            <w:pPr>
              <w:pStyle w:val="AralkYok"/>
              <w:jc w:val="center"/>
              <w:rPr>
                <w:sz w:val="24"/>
              </w:rPr>
            </w:pPr>
            <w:r w:rsidRPr="004D15B1">
              <w:rPr>
                <w:sz w:val="24"/>
              </w:rPr>
              <w:t>11.0</w:t>
            </w:r>
          </w:p>
        </w:tc>
      </w:tr>
      <w:tr w:rsidR="004D15B1" w:rsidTr="00E46A20">
        <w:tc>
          <w:tcPr>
            <w:tcW w:w="4503" w:type="dxa"/>
          </w:tcPr>
          <w:p w:rsidR="004D15B1" w:rsidRPr="004D15B1" w:rsidRDefault="004D15B1" w:rsidP="004D15B1">
            <w:pPr>
              <w:pStyle w:val="AralkYok"/>
              <w:rPr>
                <w:rFonts w:cstheme="minorHAnsi"/>
                <w:sz w:val="24"/>
              </w:rPr>
            </w:pPr>
            <w:r w:rsidRPr="004D15B1">
              <w:rPr>
                <w:sz w:val="24"/>
              </w:rPr>
              <w:t xml:space="preserve">Merkezi Yönetim Bütçe Dengesi (GSYH %) </w:t>
            </w:r>
          </w:p>
        </w:tc>
        <w:tc>
          <w:tcPr>
            <w:tcW w:w="1275" w:type="dxa"/>
          </w:tcPr>
          <w:p w:rsidR="004D15B1" w:rsidRPr="004D15B1" w:rsidRDefault="004D15B1" w:rsidP="00E46A20">
            <w:pPr>
              <w:pStyle w:val="AralkYok"/>
              <w:jc w:val="center"/>
              <w:rPr>
                <w:sz w:val="24"/>
              </w:rPr>
            </w:pPr>
            <w:r w:rsidRPr="004D15B1">
              <w:rPr>
                <w:sz w:val="24"/>
              </w:rPr>
              <w:t>-1.9</w:t>
            </w:r>
          </w:p>
        </w:tc>
        <w:tc>
          <w:tcPr>
            <w:tcW w:w="1134" w:type="dxa"/>
          </w:tcPr>
          <w:p w:rsidR="004D15B1" w:rsidRPr="004D15B1" w:rsidRDefault="004D15B1" w:rsidP="00E46A20">
            <w:pPr>
              <w:pStyle w:val="AralkYok"/>
              <w:jc w:val="center"/>
              <w:rPr>
                <w:sz w:val="24"/>
              </w:rPr>
            </w:pPr>
            <w:r w:rsidRPr="004D15B1">
              <w:rPr>
                <w:sz w:val="24"/>
              </w:rPr>
              <w:t>-2.9</w:t>
            </w:r>
          </w:p>
        </w:tc>
        <w:tc>
          <w:tcPr>
            <w:tcW w:w="1276" w:type="dxa"/>
          </w:tcPr>
          <w:p w:rsidR="004D15B1" w:rsidRPr="004D15B1" w:rsidRDefault="004D15B1" w:rsidP="00E46A20">
            <w:pPr>
              <w:pStyle w:val="AralkYok"/>
              <w:jc w:val="center"/>
              <w:rPr>
                <w:sz w:val="24"/>
              </w:rPr>
            </w:pPr>
            <w:r w:rsidRPr="004D15B1">
              <w:rPr>
                <w:sz w:val="24"/>
              </w:rPr>
              <w:t>-4.9</w:t>
            </w:r>
          </w:p>
        </w:tc>
        <w:tc>
          <w:tcPr>
            <w:tcW w:w="1024" w:type="dxa"/>
          </w:tcPr>
          <w:p w:rsidR="004D15B1" w:rsidRPr="004D15B1" w:rsidRDefault="004D15B1" w:rsidP="00E46A20">
            <w:pPr>
              <w:pStyle w:val="AralkYok"/>
              <w:jc w:val="center"/>
              <w:rPr>
                <w:sz w:val="24"/>
              </w:rPr>
            </w:pPr>
            <w:r w:rsidRPr="004D15B1">
              <w:rPr>
                <w:sz w:val="24"/>
              </w:rPr>
              <w:t>-4.3</w:t>
            </w:r>
          </w:p>
        </w:tc>
      </w:tr>
      <w:tr w:rsidR="004D15B1" w:rsidTr="00E46A20">
        <w:tc>
          <w:tcPr>
            <w:tcW w:w="4503" w:type="dxa"/>
          </w:tcPr>
          <w:p w:rsidR="004D15B1" w:rsidRPr="004D15B1" w:rsidRDefault="004D15B1" w:rsidP="004D15B1">
            <w:pPr>
              <w:pStyle w:val="AralkYok"/>
              <w:rPr>
                <w:rFonts w:cstheme="minorHAnsi"/>
                <w:sz w:val="24"/>
              </w:rPr>
            </w:pPr>
            <w:r w:rsidRPr="004D15B1">
              <w:rPr>
                <w:sz w:val="24"/>
              </w:rPr>
              <w:t xml:space="preserve">Cari Açık (milyar USD) </w:t>
            </w:r>
          </w:p>
        </w:tc>
        <w:tc>
          <w:tcPr>
            <w:tcW w:w="1275" w:type="dxa"/>
          </w:tcPr>
          <w:p w:rsidR="004D15B1" w:rsidRPr="004D15B1" w:rsidRDefault="004D15B1" w:rsidP="00E46A20">
            <w:pPr>
              <w:pStyle w:val="AralkYok"/>
              <w:jc w:val="center"/>
              <w:rPr>
                <w:sz w:val="24"/>
              </w:rPr>
            </w:pPr>
            <w:r w:rsidRPr="004D15B1">
              <w:rPr>
                <w:sz w:val="24"/>
              </w:rPr>
              <w:t>-20.7</w:t>
            </w:r>
          </w:p>
        </w:tc>
        <w:tc>
          <w:tcPr>
            <w:tcW w:w="1134" w:type="dxa"/>
          </w:tcPr>
          <w:p w:rsidR="004D15B1" w:rsidRPr="004D15B1" w:rsidRDefault="004D15B1" w:rsidP="00E46A20">
            <w:pPr>
              <w:pStyle w:val="AralkYok"/>
              <w:jc w:val="center"/>
              <w:rPr>
                <w:sz w:val="24"/>
              </w:rPr>
            </w:pPr>
            <w:r w:rsidRPr="004D15B1">
              <w:rPr>
                <w:sz w:val="24"/>
              </w:rPr>
              <w:t>8.7</w:t>
            </w:r>
          </w:p>
        </w:tc>
        <w:tc>
          <w:tcPr>
            <w:tcW w:w="1276" w:type="dxa"/>
          </w:tcPr>
          <w:p w:rsidR="004D15B1" w:rsidRPr="004D15B1" w:rsidRDefault="004D15B1" w:rsidP="00E46A20">
            <w:pPr>
              <w:pStyle w:val="AralkYok"/>
              <w:jc w:val="center"/>
              <w:rPr>
                <w:sz w:val="24"/>
              </w:rPr>
            </w:pPr>
            <w:r w:rsidRPr="004D15B1">
              <w:rPr>
                <w:sz w:val="24"/>
              </w:rPr>
              <w:t>-27.0</w:t>
            </w:r>
          </w:p>
        </w:tc>
        <w:tc>
          <w:tcPr>
            <w:tcW w:w="1024" w:type="dxa"/>
          </w:tcPr>
          <w:p w:rsidR="004D15B1" w:rsidRPr="004D15B1" w:rsidRDefault="004D15B1" w:rsidP="00E46A20">
            <w:pPr>
              <w:pStyle w:val="AralkYok"/>
              <w:jc w:val="center"/>
              <w:rPr>
                <w:sz w:val="24"/>
              </w:rPr>
            </w:pPr>
            <w:r w:rsidRPr="004D15B1">
              <w:rPr>
                <w:sz w:val="24"/>
              </w:rPr>
              <w:t>-20.0</w:t>
            </w:r>
          </w:p>
        </w:tc>
      </w:tr>
      <w:tr w:rsidR="004D15B1" w:rsidTr="00E46A20">
        <w:tc>
          <w:tcPr>
            <w:tcW w:w="4503" w:type="dxa"/>
          </w:tcPr>
          <w:p w:rsidR="004D15B1" w:rsidRPr="004D15B1" w:rsidRDefault="004D15B1" w:rsidP="004D15B1">
            <w:pPr>
              <w:pStyle w:val="AralkYok"/>
              <w:rPr>
                <w:rFonts w:cstheme="minorHAnsi"/>
                <w:sz w:val="24"/>
              </w:rPr>
            </w:pPr>
            <w:r w:rsidRPr="004D15B1">
              <w:rPr>
                <w:sz w:val="24"/>
              </w:rPr>
              <w:t xml:space="preserve">(GSYH %) </w:t>
            </w:r>
          </w:p>
        </w:tc>
        <w:tc>
          <w:tcPr>
            <w:tcW w:w="1275" w:type="dxa"/>
          </w:tcPr>
          <w:p w:rsidR="004D15B1" w:rsidRPr="004D15B1" w:rsidRDefault="004D15B1" w:rsidP="00E46A20">
            <w:pPr>
              <w:pStyle w:val="AralkYok"/>
              <w:jc w:val="center"/>
              <w:rPr>
                <w:sz w:val="24"/>
              </w:rPr>
            </w:pPr>
            <w:r w:rsidRPr="004D15B1">
              <w:rPr>
                <w:sz w:val="24"/>
              </w:rPr>
              <w:t>-2.6</w:t>
            </w:r>
          </w:p>
        </w:tc>
        <w:tc>
          <w:tcPr>
            <w:tcW w:w="1134" w:type="dxa"/>
          </w:tcPr>
          <w:p w:rsidR="004D15B1" w:rsidRPr="004D15B1" w:rsidRDefault="004D15B1" w:rsidP="00E46A20">
            <w:pPr>
              <w:pStyle w:val="AralkYok"/>
              <w:jc w:val="center"/>
              <w:rPr>
                <w:sz w:val="24"/>
              </w:rPr>
            </w:pPr>
            <w:r w:rsidRPr="004D15B1">
              <w:rPr>
                <w:sz w:val="24"/>
              </w:rPr>
              <w:t>1.2</w:t>
            </w:r>
          </w:p>
        </w:tc>
        <w:tc>
          <w:tcPr>
            <w:tcW w:w="1276" w:type="dxa"/>
          </w:tcPr>
          <w:p w:rsidR="004D15B1" w:rsidRPr="004D15B1" w:rsidRDefault="004D15B1" w:rsidP="00E46A20">
            <w:pPr>
              <w:pStyle w:val="AralkYok"/>
              <w:jc w:val="center"/>
              <w:rPr>
                <w:sz w:val="24"/>
              </w:rPr>
            </w:pPr>
            <w:r w:rsidRPr="004D15B1">
              <w:rPr>
                <w:sz w:val="24"/>
              </w:rPr>
              <w:t>-4.0</w:t>
            </w:r>
          </w:p>
        </w:tc>
        <w:tc>
          <w:tcPr>
            <w:tcW w:w="1024" w:type="dxa"/>
          </w:tcPr>
          <w:p w:rsidR="004D15B1" w:rsidRPr="004D15B1" w:rsidRDefault="004D15B1" w:rsidP="00E46A20">
            <w:pPr>
              <w:pStyle w:val="AralkYok"/>
              <w:jc w:val="center"/>
              <w:rPr>
                <w:sz w:val="24"/>
              </w:rPr>
            </w:pPr>
            <w:r w:rsidRPr="004D15B1">
              <w:rPr>
                <w:sz w:val="24"/>
              </w:rPr>
              <w:t>-3.0</w:t>
            </w:r>
          </w:p>
        </w:tc>
      </w:tr>
    </w:tbl>
    <w:p w:rsidR="002A6F07" w:rsidRPr="009D7D84" w:rsidRDefault="002A6F07" w:rsidP="002A6F07">
      <w:pPr>
        <w:pStyle w:val="AralkYok"/>
        <w:jc w:val="both"/>
        <w:rPr>
          <w:sz w:val="24"/>
        </w:rPr>
      </w:pPr>
    </w:p>
    <w:p w:rsidR="008F6E72" w:rsidRPr="00984937" w:rsidRDefault="008F6E72" w:rsidP="00745D85">
      <w:pPr>
        <w:pStyle w:val="NormalWeb"/>
        <w:shd w:val="clear" w:color="auto" w:fill="FFFFFF"/>
        <w:spacing w:before="0" w:beforeAutospacing="0" w:after="150" w:afterAutospacing="0" w:line="300" w:lineRule="atLeast"/>
        <w:jc w:val="both"/>
        <w:rPr>
          <w:rFonts w:ascii="Calibri" w:hAnsi="Calibri" w:cs="Calibri"/>
          <w:sz w:val="26"/>
          <w:szCs w:val="26"/>
        </w:rPr>
      </w:pPr>
      <w:r w:rsidRPr="00984937">
        <w:rPr>
          <w:rFonts w:ascii="Calibri" w:hAnsi="Calibri" w:cs="Calibri"/>
          <w:sz w:val="26"/>
          <w:szCs w:val="26"/>
        </w:rPr>
        <w:t>Kamuoyuna saygı ile duyurulur.</w:t>
      </w:r>
    </w:p>
    <w:p w:rsidR="00DA0F34" w:rsidRDefault="008F6E72" w:rsidP="00DE2EC1">
      <w:pPr>
        <w:pStyle w:val="AralkYok"/>
        <w:rPr>
          <w:sz w:val="24"/>
        </w:rPr>
      </w:pPr>
      <w:r w:rsidRPr="00AC426E">
        <w:rPr>
          <w:sz w:val="24"/>
        </w:rPr>
        <w:t>İsa Tamer ÇELİK</w:t>
      </w:r>
    </w:p>
    <w:p w:rsidR="00984937" w:rsidRPr="00AC426E" w:rsidRDefault="008F6E72" w:rsidP="00DE2EC1">
      <w:pPr>
        <w:pStyle w:val="AralkYok"/>
        <w:rPr>
          <w:sz w:val="24"/>
        </w:rPr>
      </w:pPr>
      <w:proofErr w:type="gramStart"/>
      <w:r w:rsidRPr="00AC426E">
        <w:rPr>
          <w:sz w:val="24"/>
        </w:rPr>
        <w:t>GÜNMARSİFED</w:t>
      </w:r>
      <w:r w:rsidR="00895725" w:rsidRPr="00AC426E">
        <w:rPr>
          <w:sz w:val="24"/>
        </w:rPr>
        <w:t xml:space="preserve"> </w:t>
      </w:r>
      <w:r w:rsidRPr="00AC426E">
        <w:rPr>
          <w:sz w:val="24"/>
        </w:rPr>
        <w:t xml:space="preserve"> Başkanı</w:t>
      </w:r>
      <w:proofErr w:type="gramEnd"/>
    </w:p>
    <w:sectPr w:rsidR="00984937" w:rsidRPr="00AC426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837" w:rsidRDefault="00A17837" w:rsidP="009B2A31">
      <w:r>
        <w:separator/>
      </w:r>
    </w:p>
  </w:endnote>
  <w:endnote w:type="continuationSeparator" w:id="0">
    <w:p w:rsidR="00A17837" w:rsidRDefault="00A17837"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837" w:rsidRDefault="00A17837" w:rsidP="009B2A31">
      <w:r>
        <w:separator/>
      </w:r>
    </w:p>
  </w:footnote>
  <w:footnote w:type="continuationSeparator" w:id="0">
    <w:p w:rsidR="00A17837" w:rsidRDefault="00A17837"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956AA9" w:rsidP="00073E73">
    <w:pPr>
      <w:pStyle w:val="stbilgi"/>
      <w:rPr>
        <w:rFonts w:ascii="Times New Roman" w:eastAsia="Times New Roman" w:hAnsi="Times New Roman" w:cs="Times New Roman"/>
        <w:noProof/>
        <w:sz w:val="24"/>
        <w:szCs w:val="24"/>
        <w:lang w:eastAsia="tr-TR"/>
      </w:rPr>
    </w:pPr>
    <w:r>
      <w:rPr>
        <w:noProof/>
        <w:lang w:eastAsia="tr-TR"/>
      </w:rPr>
      <w:drawing>
        <wp:anchor distT="0" distB="0" distL="114300" distR="114300" simplePos="0" relativeHeight="251659264" behindDoc="0" locked="0" layoutInCell="1" allowOverlap="1" wp14:anchorId="785451DA" wp14:editId="55D50A03">
          <wp:simplePos x="0" y="0"/>
          <wp:positionH relativeFrom="column">
            <wp:posOffset>3335020</wp:posOffset>
          </wp:positionH>
          <wp:positionV relativeFrom="paragraph">
            <wp:posOffset>146685</wp:posOffset>
          </wp:positionV>
          <wp:extent cx="2495550" cy="199390"/>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199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3E73">
      <w:rPr>
        <w:noProof/>
        <w:lang w:eastAsia="tr-TR"/>
      </w:rPr>
      <w:t xml:space="preserve">  </w:t>
    </w:r>
    <w:r w:rsidR="0079516F">
      <w:rPr>
        <w:noProof/>
        <w:lang w:eastAsia="tr-TR"/>
      </w:rPr>
      <w:drawing>
        <wp:inline distT="0" distB="0" distL="0" distR="0" wp14:anchorId="68EDEBA1" wp14:editId="0A7577D4">
          <wp:extent cx="2301240" cy="626556"/>
          <wp:effectExtent l="0" t="0" r="3810" b="2540"/>
          <wp:docPr id="2" name="Resim 2" descr="C:\Users\Lenovo\Desktop\federasy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federasyon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389" cy="626597"/>
                  </a:xfrm>
                  <a:prstGeom prst="rect">
                    <a:avLst/>
                  </a:prstGeom>
                  <a:noFill/>
                  <a:ln>
                    <a:noFill/>
                  </a:ln>
                </pic:spPr>
              </pic:pic>
            </a:graphicData>
          </a:graphic>
        </wp:inline>
      </w:drawing>
    </w:r>
    <w:r w:rsidR="00073E73" w:rsidRPr="00073E73">
      <w:rPr>
        <w:rFonts w:ascii="Times New Roman" w:eastAsia="Times New Roman" w:hAnsi="Times New Roman" w:cs="Times New Roman"/>
        <w:noProof/>
        <w:sz w:val="24"/>
        <w:szCs w:val="24"/>
        <w:lang w:eastAsia="tr-TR"/>
      </w:rPr>
      <w:t xml:space="preserve"> </w:t>
    </w:r>
    <w:r w:rsidR="00073E73">
      <w:rPr>
        <w:rFonts w:ascii="Times New Roman" w:eastAsia="Times New Roman" w:hAnsi="Times New Roman" w:cs="Times New Roman"/>
        <w:noProof/>
        <w:sz w:val="24"/>
        <w:szCs w:val="24"/>
        <w:lang w:eastAsia="tr-TR"/>
      </w:rPr>
      <w:t xml:space="preserve">          </w:t>
    </w:r>
  </w:p>
  <w:p w:rsidR="00073E73" w:rsidRDefault="00073E73" w:rsidP="00073E73">
    <w:pPr>
      <w:pStyle w:val="stbilgi"/>
      <w:rPr>
        <w:rFonts w:ascii="Times New Roman" w:eastAsia="Times New Roman" w:hAnsi="Times New Roman" w:cs="Times New Roman"/>
        <w:noProof/>
        <w:sz w:val="24"/>
        <w:szCs w:val="24"/>
        <w:lang w:eastAsia="tr-TR"/>
      </w:rPr>
    </w:pPr>
  </w:p>
  <w:p w:rsidR="00073E73" w:rsidRDefault="00956AA9" w:rsidP="00073E73">
    <w:pPr>
      <w:pStyle w:val="stbilgi"/>
      <w:jc w:val="center"/>
    </w:pPr>
    <w:r>
      <w:rPr>
        <w:noProof/>
        <w:lang w:eastAsia="tr-TR"/>
      </w:rPr>
      <w:drawing>
        <wp:inline distT="0" distB="0" distL="0" distR="0" wp14:anchorId="5782A88D" wp14:editId="4A890D54">
          <wp:extent cx="3886200" cy="533400"/>
          <wp:effectExtent l="0" t="0" r="0" b="0"/>
          <wp:docPr id="4" name="Resim 4" descr="C:\Users\Erdogan\Desktop\günmarsifed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dogan\Desktop\günmarsifedba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86200" cy="533400"/>
                  </a:xfrm>
                  <a:prstGeom prst="rect">
                    <a:avLst/>
                  </a:prstGeom>
                  <a:noFill/>
                  <a:ln>
                    <a:noFill/>
                  </a:ln>
                </pic:spPr>
              </pic:pic>
            </a:graphicData>
          </a:graphic>
        </wp:inline>
      </w:drawing>
    </w: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B39968D"/>
    <w:multiLevelType w:val="hybridMultilevel"/>
    <w:tmpl w:val="CFE5DD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699F"/>
    <w:rsid w:val="00012176"/>
    <w:rsid w:val="00012700"/>
    <w:rsid w:val="000242FE"/>
    <w:rsid w:val="00025065"/>
    <w:rsid w:val="000339BE"/>
    <w:rsid w:val="00047B0C"/>
    <w:rsid w:val="0005134A"/>
    <w:rsid w:val="00054CAB"/>
    <w:rsid w:val="000615E1"/>
    <w:rsid w:val="00064C0F"/>
    <w:rsid w:val="00067B3C"/>
    <w:rsid w:val="00070DC3"/>
    <w:rsid w:val="0007379E"/>
    <w:rsid w:val="00073E73"/>
    <w:rsid w:val="00094EE3"/>
    <w:rsid w:val="0009561D"/>
    <w:rsid w:val="000A0B5F"/>
    <w:rsid w:val="000A4585"/>
    <w:rsid w:val="000A6C18"/>
    <w:rsid w:val="000B68A2"/>
    <w:rsid w:val="000B74ED"/>
    <w:rsid w:val="000C2FFC"/>
    <w:rsid w:val="000D028B"/>
    <w:rsid w:val="000D14DC"/>
    <w:rsid w:val="000D2763"/>
    <w:rsid w:val="000D282F"/>
    <w:rsid w:val="000D2EF3"/>
    <w:rsid w:val="000E5437"/>
    <w:rsid w:val="000F07C2"/>
    <w:rsid w:val="000F4158"/>
    <w:rsid w:val="001007C7"/>
    <w:rsid w:val="0010272A"/>
    <w:rsid w:val="00111614"/>
    <w:rsid w:val="0011383F"/>
    <w:rsid w:val="001151D1"/>
    <w:rsid w:val="00120128"/>
    <w:rsid w:val="00121B08"/>
    <w:rsid w:val="00123299"/>
    <w:rsid w:val="00127D9E"/>
    <w:rsid w:val="00127DA8"/>
    <w:rsid w:val="00133D24"/>
    <w:rsid w:val="00135BB4"/>
    <w:rsid w:val="001419E3"/>
    <w:rsid w:val="0015263B"/>
    <w:rsid w:val="00153A9A"/>
    <w:rsid w:val="00154B99"/>
    <w:rsid w:val="0016626F"/>
    <w:rsid w:val="00166992"/>
    <w:rsid w:val="0016737E"/>
    <w:rsid w:val="00180D2C"/>
    <w:rsid w:val="00191371"/>
    <w:rsid w:val="00191937"/>
    <w:rsid w:val="001A3471"/>
    <w:rsid w:val="001A3F31"/>
    <w:rsid w:val="001A4D3C"/>
    <w:rsid w:val="001A72EC"/>
    <w:rsid w:val="001B7218"/>
    <w:rsid w:val="001B772A"/>
    <w:rsid w:val="001C60F0"/>
    <w:rsid w:val="001C7BF6"/>
    <w:rsid w:val="001D01AE"/>
    <w:rsid w:val="001E24AC"/>
    <w:rsid w:val="001E6F89"/>
    <w:rsid w:val="001E6FDC"/>
    <w:rsid w:val="001E7F03"/>
    <w:rsid w:val="001F032A"/>
    <w:rsid w:val="001F22AE"/>
    <w:rsid w:val="001F3EB5"/>
    <w:rsid w:val="001F63B7"/>
    <w:rsid w:val="00200922"/>
    <w:rsid w:val="00213D72"/>
    <w:rsid w:val="002151C1"/>
    <w:rsid w:val="00217C61"/>
    <w:rsid w:val="00220B1A"/>
    <w:rsid w:val="002232C7"/>
    <w:rsid w:val="00227C66"/>
    <w:rsid w:val="00246D13"/>
    <w:rsid w:val="002522FD"/>
    <w:rsid w:val="0025375F"/>
    <w:rsid w:val="00255480"/>
    <w:rsid w:val="00255A8B"/>
    <w:rsid w:val="002616A4"/>
    <w:rsid w:val="002640DF"/>
    <w:rsid w:val="0027231E"/>
    <w:rsid w:val="00274524"/>
    <w:rsid w:val="00277084"/>
    <w:rsid w:val="00285A21"/>
    <w:rsid w:val="00286421"/>
    <w:rsid w:val="00293802"/>
    <w:rsid w:val="00295AE0"/>
    <w:rsid w:val="002A244B"/>
    <w:rsid w:val="002A6F07"/>
    <w:rsid w:val="002B1295"/>
    <w:rsid w:val="002B19FE"/>
    <w:rsid w:val="002B3A9F"/>
    <w:rsid w:val="002D0696"/>
    <w:rsid w:val="002D6676"/>
    <w:rsid w:val="002E0A71"/>
    <w:rsid w:val="002E26C5"/>
    <w:rsid w:val="002E2FC5"/>
    <w:rsid w:val="002F1403"/>
    <w:rsid w:val="002F39F0"/>
    <w:rsid w:val="002F5131"/>
    <w:rsid w:val="00310F9F"/>
    <w:rsid w:val="00320083"/>
    <w:rsid w:val="00323EC5"/>
    <w:rsid w:val="003247FB"/>
    <w:rsid w:val="003328B4"/>
    <w:rsid w:val="003349F9"/>
    <w:rsid w:val="00334F70"/>
    <w:rsid w:val="003352C6"/>
    <w:rsid w:val="00335832"/>
    <w:rsid w:val="00341208"/>
    <w:rsid w:val="00341CE1"/>
    <w:rsid w:val="0034329E"/>
    <w:rsid w:val="00346317"/>
    <w:rsid w:val="0034697F"/>
    <w:rsid w:val="00346AC4"/>
    <w:rsid w:val="00352DC7"/>
    <w:rsid w:val="003636F5"/>
    <w:rsid w:val="003649EF"/>
    <w:rsid w:val="003668F8"/>
    <w:rsid w:val="00370451"/>
    <w:rsid w:val="00370A31"/>
    <w:rsid w:val="00372379"/>
    <w:rsid w:val="003746CC"/>
    <w:rsid w:val="003769EA"/>
    <w:rsid w:val="00381F81"/>
    <w:rsid w:val="00383106"/>
    <w:rsid w:val="0038527C"/>
    <w:rsid w:val="003875E0"/>
    <w:rsid w:val="00390FC0"/>
    <w:rsid w:val="00395661"/>
    <w:rsid w:val="00397C5B"/>
    <w:rsid w:val="003A17B2"/>
    <w:rsid w:val="003A2F6D"/>
    <w:rsid w:val="003A2F7D"/>
    <w:rsid w:val="003A4FFD"/>
    <w:rsid w:val="003B3BF2"/>
    <w:rsid w:val="003B53B1"/>
    <w:rsid w:val="003C0457"/>
    <w:rsid w:val="003C79DB"/>
    <w:rsid w:val="003C7AF8"/>
    <w:rsid w:val="003D1B21"/>
    <w:rsid w:val="003D7191"/>
    <w:rsid w:val="003D72D5"/>
    <w:rsid w:val="003E380D"/>
    <w:rsid w:val="00404C40"/>
    <w:rsid w:val="00405021"/>
    <w:rsid w:val="00411B9D"/>
    <w:rsid w:val="0041553E"/>
    <w:rsid w:val="00416D74"/>
    <w:rsid w:val="004170EC"/>
    <w:rsid w:val="00421353"/>
    <w:rsid w:val="00427095"/>
    <w:rsid w:val="00427D6B"/>
    <w:rsid w:val="00431D5A"/>
    <w:rsid w:val="004436A1"/>
    <w:rsid w:val="004447EC"/>
    <w:rsid w:val="00445940"/>
    <w:rsid w:val="00454208"/>
    <w:rsid w:val="0046099E"/>
    <w:rsid w:val="00461F38"/>
    <w:rsid w:val="00465766"/>
    <w:rsid w:val="004659E3"/>
    <w:rsid w:val="0047447D"/>
    <w:rsid w:val="00482904"/>
    <w:rsid w:val="004871C8"/>
    <w:rsid w:val="00492B8A"/>
    <w:rsid w:val="004964A1"/>
    <w:rsid w:val="00497EFE"/>
    <w:rsid w:val="004A1C03"/>
    <w:rsid w:val="004A5BA3"/>
    <w:rsid w:val="004A651B"/>
    <w:rsid w:val="004B177D"/>
    <w:rsid w:val="004B2E68"/>
    <w:rsid w:val="004B4211"/>
    <w:rsid w:val="004B4B17"/>
    <w:rsid w:val="004C36BF"/>
    <w:rsid w:val="004D0760"/>
    <w:rsid w:val="004D15B1"/>
    <w:rsid w:val="004D4E03"/>
    <w:rsid w:val="004E19A3"/>
    <w:rsid w:val="004E63FA"/>
    <w:rsid w:val="004E7162"/>
    <w:rsid w:val="004F09F2"/>
    <w:rsid w:val="004F6104"/>
    <w:rsid w:val="004F69CE"/>
    <w:rsid w:val="00504800"/>
    <w:rsid w:val="005155BC"/>
    <w:rsid w:val="00521CDB"/>
    <w:rsid w:val="00527EBD"/>
    <w:rsid w:val="00531579"/>
    <w:rsid w:val="005328FF"/>
    <w:rsid w:val="005378DD"/>
    <w:rsid w:val="00543DCF"/>
    <w:rsid w:val="00544AF3"/>
    <w:rsid w:val="00554111"/>
    <w:rsid w:val="00554A0D"/>
    <w:rsid w:val="00554B36"/>
    <w:rsid w:val="00566DE2"/>
    <w:rsid w:val="00571522"/>
    <w:rsid w:val="005726E4"/>
    <w:rsid w:val="005743C7"/>
    <w:rsid w:val="005749B3"/>
    <w:rsid w:val="00575C85"/>
    <w:rsid w:val="005867A1"/>
    <w:rsid w:val="005903EB"/>
    <w:rsid w:val="00590CE9"/>
    <w:rsid w:val="00591F2A"/>
    <w:rsid w:val="005920A9"/>
    <w:rsid w:val="005A1850"/>
    <w:rsid w:val="005A23CC"/>
    <w:rsid w:val="005A3D8F"/>
    <w:rsid w:val="005A78CC"/>
    <w:rsid w:val="005B71A3"/>
    <w:rsid w:val="005C46EB"/>
    <w:rsid w:val="005D191F"/>
    <w:rsid w:val="005D341E"/>
    <w:rsid w:val="005D41D4"/>
    <w:rsid w:val="005E0B3E"/>
    <w:rsid w:val="005E1B66"/>
    <w:rsid w:val="005E2C0A"/>
    <w:rsid w:val="005F65A4"/>
    <w:rsid w:val="00604DC8"/>
    <w:rsid w:val="0060553C"/>
    <w:rsid w:val="00607470"/>
    <w:rsid w:val="00607849"/>
    <w:rsid w:val="006140EA"/>
    <w:rsid w:val="00617C62"/>
    <w:rsid w:val="00621080"/>
    <w:rsid w:val="006249C2"/>
    <w:rsid w:val="00631906"/>
    <w:rsid w:val="00631BCE"/>
    <w:rsid w:val="006330D4"/>
    <w:rsid w:val="006367BB"/>
    <w:rsid w:val="00652E16"/>
    <w:rsid w:val="00652F57"/>
    <w:rsid w:val="006535AF"/>
    <w:rsid w:val="006555E6"/>
    <w:rsid w:val="0066117A"/>
    <w:rsid w:val="00661C23"/>
    <w:rsid w:val="00662C49"/>
    <w:rsid w:val="00667CB0"/>
    <w:rsid w:val="006719BB"/>
    <w:rsid w:val="00674AB8"/>
    <w:rsid w:val="006778D4"/>
    <w:rsid w:val="006828C5"/>
    <w:rsid w:val="00684721"/>
    <w:rsid w:val="00686740"/>
    <w:rsid w:val="0068690B"/>
    <w:rsid w:val="006953AC"/>
    <w:rsid w:val="006967AC"/>
    <w:rsid w:val="006A15EC"/>
    <w:rsid w:val="006A47BA"/>
    <w:rsid w:val="006A6452"/>
    <w:rsid w:val="006B20BA"/>
    <w:rsid w:val="006B32A0"/>
    <w:rsid w:val="006B353A"/>
    <w:rsid w:val="006B440E"/>
    <w:rsid w:val="006B7510"/>
    <w:rsid w:val="006C0D7A"/>
    <w:rsid w:val="006C0D9C"/>
    <w:rsid w:val="006C3D76"/>
    <w:rsid w:val="006C3E22"/>
    <w:rsid w:val="006E08D9"/>
    <w:rsid w:val="006E33F6"/>
    <w:rsid w:val="006E454A"/>
    <w:rsid w:val="006E7CD8"/>
    <w:rsid w:val="007021F3"/>
    <w:rsid w:val="0070360C"/>
    <w:rsid w:val="00706CE4"/>
    <w:rsid w:val="007106E4"/>
    <w:rsid w:val="00711698"/>
    <w:rsid w:val="0071371B"/>
    <w:rsid w:val="00716B28"/>
    <w:rsid w:val="00721D35"/>
    <w:rsid w:val="0072357D"/>
    <w:rsid w:val="007269C2"/>
    <w:rsid w:val="00740453"/>
    <w:rsid w:val="00741E80"/>
    <w:rsid w:val="007432DB"/>
    <w:rsid w:val="00745C17"/>
    <w:rsid w:val="00745D85"/>
    <w:rsid w:val="0075296D"/>
    <w:rsid w:val="00753BD6"/>
    <w:rsid w:val="00753FBE"/>
    <w:rsid w:val="00764B77"/>
    <w:rsid w:val="00765FD9"/>
    <w:rsid w:val="00775FC8"/>
    <w:rsid w:val="00782957"/>
    <w:rsid w:val="007832AF"/>
    <w:rsid w:val="00794913"/>
    <w:rsid w:val="0079516F"/>
    <w:rsid w:val="00795283"/>
    <w:rsid w:val="00797B47"/>
    <w:rsid w:val="007A2A49"/>
    <w:rsid w:val="007A40C0"/>
    <w:rsid w:val="007A6680"/>
    <w:rsid w:val="007B091A"/>
    <w:rsid w:val="007B1E9C"/>
    <w:rsid w:val="007B354D"/>
    <w:rsid w:val="007C28F7"/>
    <w:rsid w:val="007D1E40"/>
    <w:rsid w:val="007D1FDF"/>
    <w:rsid w:val="007E0376"/>
    <w:rsid w:val="007E426D"/>
    <w:rsid w:val="007E6259"/>
    <w:rsid w:val="007E75E8"/>
    <w:rsid w:val="007F480A"/>
    <w:rsid w:val="007F6827"/>
    <w:rsid w:val="00820D3A"/>
    <w:rsid w:val="00826322"/>
    <w:rsid w:val="008432A6"/>
    <w:rsid w:val="00844A24"/>
    <w:rsid w:val="00847800"/>
    <w:rsid w:val="008566D1"/>
    <w:rsid w:val="0086020A"/>
    <w:rsid w:val="0086439A"/>
    <w:rsid w:val="00867C0A"/>
    <w:rsid w:val="008825A7"/>
    <w:rsid w:val="00886638"/>
    <w:rsid w:val="008903AF"/>
    <w:rsid w:val="0089244A"/>
    <w:rsid w:val="00895725"/>
    <w:rsid w:val="008963FD"/>
    <w:rsid w:val="008A1D87"/>
    <w:rsid w:val="008A7A4C"/>
    <w:rsid w:val="008C45EC"/>
    <w:rsid w:val="008D03B5"/>
    <w:rsid w:val="008D3464"/>
    <w:rsid w:val="008D568B"/>
    <w:rsid w:val="008D758B"/>
    <w:rsid w:val="008E4080"/>
    <w:rsid w:val="008F031A"/>
    <w:rsid w:val="008F39A9"/>
    <w:rsid w:val="008F6E72"/>
    <w:rsid w:val="00904715"/>
    <w:rsid w:val="00916140"/>
    <w:rsid w:val="009165CB"/>
    <w:rsid w:val="00921957"/>
    <w:rsid w:val="00925982"/>
    <w:rsid w:val="00926A0B"/>
    <w:rsid w:val="00936A47"/>
    <w:rsid w:val="00940FEA"/>
    <w:rsid w:val="0094163D"/>
    <w:rsid w:val="0094375A"/>
    <w:rsid w:val="00945F8B"/>
    <w:rsid w:val="00946BD7"/>
    <w:rsid w:val="00946C51"/>
    <w:rsid w:val="00947BBD"/>
    <w:rsid w:val="00956AA9"/>
    <w:rsid w:val="009601A4"/>
    <w:rsid w:val="00963936"/>
    <w:rsid w:val="00965608"/>
    <w:rsid w:val="00967831"/>
    <w:rsid w:val="0096788F"/>
    <w:rsid w:val="00970D19"/>
    <w:rsid w:val="00973381"/>
    <w:rsid w:val="00980B7C"/>
    <w:rsid w:val="00980FFD"/>
    <w:rsid w:val="00984937"/>
    <w:rsid w:val="00986D35"/>
    <w:rsid w:val="00987014"/>
    <w:rsid w:val="009927EE"/>
    <w:rsid w:val="00997692"/>
    <w:rsid w:val="009B2A31"/>
    <w:rsid w:val="009B3516"/>
    <w:rsid w:val="009B5CBF"/>
    <w:rsid w:val="009C0E2B"/>
    <w:rsid w:val="009C4DE6"/>
    <w:rsid w:val="009D176D"/>
    <w:rsid w:val="009E2C58"/>
    <w:rsid w:val="009E356E"/>
    <w:rsid w:val="009E4B81"/>
    <w:rsid w:val="009F048D"/>
    <w:rsid w:val="009F09B1"/>
    <w:rsid w:val="009F2DDF"/>
    <w:rsid w:val="009F3615"/>
    <w:rsid w:val="009F5090"/>
    <w:rsid w:val="00A012A3"/>
    <w:rsid w:val="00A036A1"/>
    <w:rsid w:val="00A04B7B"/>
    <w:rsid w:val="00A162E9"/>
    <w:rsid w:val="00A17837"/>
    <w:rsid w:val="00A35AC6"/>
    <w:rsid w:val="00A36F7F"/>
    <w:rsid w:val="00A45985"/>
    <w:rsid w:val="00A45C95"/>
    <w:rsid w:val="00A56D27"/>
    <w:rsid w:val="00A571B3"/>
    <w:rsid w:val="00A62CE2"/>
    <w:rsid w:val="00A74628"/>
    <w:rsid w:val="00A81E24"/>
    <w:rsid w:val="00A915A7"/>
    <w:rsid w:val="00A920C5"/>
    <w:rsid w:val="00A93B99"/>
    <w:rsid w:val="00AA4BE0"/>
    <w:rsid w:val="00AB07A3"/>
    <w:rsid w:val="00AB40B1"/>
    <w:rsid w:val="00AB6AAB"/>
    <w:rsid w:val="00AC2759"/>
    <w:rsid w:val="00AC37D7"/>
    <w:rsid w:val="00AC426E"/>
    <w:rsid w:val="00AD2A32"/>
    <w:rsid w:val="00AD4102"/>
    <w:rsid w:val="00AD5900"/>
    <w:rsid w:val="00AD6C5A"/>
    <w:rsid w:val="00AE280E"/>
    <w:rsid w:val="00AF2AAC"/>
    <w:rsid w:val="00AF6968"/>
    <w:rsid w:val="00AF7A86"/>
    <w:rsid w:val="00B009A5"/>
    <w:rsid w:val="00B02154"/>
    <w:rsid w:val="00B04C63"/>
    <w:rsid w:val="00B13C9E"/>
    <w:rsid w:val="00B15DAC"/>
    <w:rsid w:val="00B1784D"/>
    <w:rsid w:val="00B20829"/>
    <w:rsid w:val="00B22429"/>
    <w:rsid w:val="00B243E2"/>
    <w:rsid w:val="00B26A3B"/>
    <w:rsid w:val="00B27EB9"/>
    <w:rsid w:val="00B309EA"/>
    <w:rsid w:val="00B35A3B"/>
    <w:rsid w:val="00B40B70"/>
    <w:rsid w:val="00B6008A"/>
    <w:rsid w:val="00B6134D"/>
    <w:rsid w:val="00B61EA5"/>
    <w:rsid w:val="00B63A4E"/>
    <w:rsid w:val="00B64CA1"/>
    <w:rsid w:val="00B72FBD"/>
    <w:rsid w:val="00B735B1"/>
    <w:rsid w:val="00B74D7D"/>
    <w:rsid w:val="00B87300"/>
    <w:rsid w:val="00B8743F"/>
    <w:rsid w:val="00BB147E"/>
    <w:rsid w:val="00BB6CCD"/>
    <w:rsid w:val="00BC6F68"/>
    <w:rsid w:val="00BD2C4C"/>
    <w:rsid w:val="00BD4EA3"/>
    <w:rsid w:val="00BE544B"/>
    <w:rsid w:val="00BF25B4"/>
    <w:rsid w:val="00BF79AA"/>
    <w:rsid w:val="00C01A43"/>
    <w:rsid w:val="00C05F86"/>
    <w:rsid w:val="00C157FB"/>
    <w:rsid w:val="00C2096C"/>
    <w:rsid w:val="00C2273F"/>
    <w:rsid w:val="00C31993"/>
    <w:rsid w:val="00C36190"/>
    <w:rsid w:val="00C4050C"/>
    <w:rsid w:val="00C418C6"/>
    <w:rsid w:val="00C4429D"/>
    <w:rsid w:val="00C44853"/>
    <w:rsid w:val="00C45FE6"/>
    <w:rsid w:val="00C51237"/>
    <w:rsid w:val="00C53D1B"/>
    <w:rsid w:val="00C54635"/>
    <w:rsid w:val="00C678D1"/>
    <w:rsid w:val="00C72D82"/>
    <w:rsid w:val="00C75170"/>
    <w:rsid w:val="00C765D1"/>
    <w:rsid w:val="00C76669"/>
    <w:rsid w:val="00C77DCE"/>
    <w:rsid w:val="00C91475"/>
    <w:rsid w:val="00C95721"/>
    <w:rsid w:val="00CA29ED"/>
    <w:rsid w:val="00CA37B7"/>
    <w:rsid w:val="00CB01CB"/>
    <w:rsid w:val="00CB29B7"/>
    <w:rsid w:val="00CB3101"/>
    <w:rsid w:val="00CB65ED"/>
    <w:rsid w:val="00CC19F0"/>
    <w:rsid w:val="00CD1F40"/>
    <w:rsid w:val="00CD45B5"/>
    <w:rsid w:val="00CD4AAC"/>
    <w:rsid w:val="00CD5CA5"/>
    <w:rsid w:val="00CD6CC3"/>
    <w:rsid w:val="00CE4C20"/>
    <w:rsid w:val="00CF21DF"/>
    <w:rsid w:val="00D01568"/>
    <w:rsid w:val="00D07F2D"/>
    <w:rsid w:val="00D12EA8"/>
    <w:rsid w:val="00D155E4"/>
    <w:rsid w:val="00D24BDB"/>
    <w:rsid w:val="00D3175C"/>
    <w:rsid w:val="00D3187C"/>
    <w:rsid w:val="00D34034"/>
    <w:rsid w:val="00D34E7D"/>
    <w:rsid w:val="00D40B0B"/>
    <w:rsid w:val="00D47185"/>
    <w:rsid w:val="00D51C39"/>
    <w:rsid w:val="00D52810"/>
    <w:rsid w:val="00D64CDB"/>
    <w:rsid w:val="00D85D0A"/>
    <w:rsid w:val="00D96980"/>
    <w:rsid w:val="00DA0F34"/>
    <w:rsid w:val="00DA34AD"/>
    <w:rsid w:val="00DB1DB4"/>
    <w:rsid w:val="00DB4118"/>
    <w:rsid w:val="00DB7708"/>
    <w:rsid w:val="00DC1450"/>
    <w:rsid w:val="00DC4E34"/>
    <w:rsid w:val="00DD13DE"/>
    <w:rsid w:val="00DD5BB5"/>
    <w:rsid w:val="00DD74F5"/>
    <w:rsid w:val="00DE2EC1"/>
    <w:rsid w:val="00DF2D44"/>
    <w:rsid w:val="00DF3059"/>
    <w:rsid w:val="00DF5032"/>
    <w:rsid w:val="00DF5786"/>
    <w:rsid w:val="00E0595C"/>
    <w:rsid w:val="00E06ABE"/>
    <w:rsid w:val="00E161B6"/>
    <w:rsid w:val="00E2560F"/>
    <w:rsid w:val="00E3045E"/>
    <w:rsid w:val="00E30BB5"/>
    <w:rsid w:val="00E31652"/>
    <w:rsid w:val="00E33A5B"/>
    <w:rsid w:val="00E42758"/>
    <w:rsid w:val="00E46A20"/>
    <w:rsid w:val="00E5177F"/>
    <w:rsid w:val="00E61E66"/>
    <w:rsid w:val="00E71516"/>
    <w:rsid w:val="00E71ADF"/>
    <w:rsid w:val="00E80156"/>
    <w:rsid w:val="00E82C68"/>
    <w:rsid w:val="00E851F6"/>
    <w:rsid w:val="00E9254F"/>
    <w:rsid w:val="00E937B7"/>
    <w:rsid w:val="00EA2F4D"/>
    <w:rsid w:val="00EA5C8E"/>
    <w:rsid w:val="00EC2794"/>
    <w:rsid w:val="00ED1CB8"/>
    <w:rsid w:val="00ED2E23"/>
    <w:rsid w:val="00ED32DC"/>
    <w:rsid w:val="00ED3C9A"/>
    <w:rsid w:val="00EE20C4"/>
    <w:rsid w:val="00EE28F4"/>
    <w:rsid w:val="00EE3A4F"/>
    <w:rsid w:val="00EE7D5D"/>
    <w:rsid w:val="00EF0648"/>
    <w:rsid w:val="00EF3F73"/>
    <w:rsid w:val="00EF5E1A"/>
    <w:rsid w:val="00F05AA6"/>
    <w:rsid w:val="00F1265C"/>
    <w:rsid w:val="00F13BF0"/>
    <w:rsid w:val="00F21729"/>
    <w:rsid w:val="00F24F1A"/>
    <w:rsid w:val="00F3091F"/>
    <w:rsid w:val="00F45BF6"/>
    <w:rsid w:val="00F47F16"/>
    <w:rsid w:val="00F51EEE"/>
    <w:rsid w:val="00F54E95"/>
    <w:rsid w:val="00F55F53"/>
    <w:rsid w:val="00F608E0"/>
    <w:rsid w:val="00F60A8F"/>
    <w:rsid w:val="00F657A9"/>
    <w:rsid w:val="00F7367C"/>
    <w:rsid w:val="00F73C61"/>
    <w:rsid w:val="00F75726"/>
    <w:rsid w:val="00F77E47"/>
    <w:rsid w:val="00F80506"/>
    <w:rsid w:val="00F8688E"/>
    <w:rsid w:val="00F87A3E"/>
    <w:rsid w:val="00F91B90"/>
    <w:rsid w:val="00F92E62"/>
    <w:rsid w:val="00F964F3"/>
    <w:rsid w:val="00F96723"/>
    <w:rsid w:val="00FA17EF"/>
    <w:rsid w:val="00FA543B"/>
    <w:rsid w:val="00FA6CB8"/>
    <w:rsid w:val="00FB0AB6"/>
    <w:rsid w:val="00FB1DD9"/>
    <w:rsid w:val="00FB37EC"/>
    <w:rsid w:val="00FB6DB9"/>
    <w:rsid w:val="00FC3A6C"/>
    <w:rsid w:val="00FD0533"/>
    <w:rsid w:val="00FD1D9D"/>
    <w:rsid w:val="00FD6FFB"/>
    <w:rsid w:val="00FE0AD3"/>
    <w:rsid w:val="00FE4A5E"/>
    <w:rsid w:val="00FF140E"/>
    <w:rsid w:val="00FF2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62914">
      <w:bodyDiv w:val="1"/>
      <w:marLeft w:val="0"/>
      <w:marRight w:val="0"/>
      <w:marTop w:val="0"/>
      <w:marBottom w:val="0"/>
      <w:divBdr>
        <w:top w:val="none" w:sz="0" w:space="0" w:color="auto"/>
        <w:left w:val="none" w:sz="0" w:space="0" w:color="auto"/>
        <w:bottom w:val="none" w:sz="0" w:space="0" w:color="auto"/>
        <w:right w:val="none" w:sz="0" w:space="0" w:color="auto"/>
      </w:divBdr>
    </w:div>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20891080">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B6214-459B-40FE-B87B-06FA9C7F4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692</Words>
  <Characters>3947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6</cp:revision>
  <dcterms:created xsi:type="dcterms:W3CDTF">2020-10-10T13:22:00Z</dcterms:created>
  <dcterms:modified xsi:type="dcterms:W3CDTF">2020-10-10T13:49:00Z</dcterms:modified>
</cp:coreProperties>
</file>